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4</w:t>
      </w:r>
      <w:r>
        <w:rPr>
          <w:rFonts w:ascii="Arial" w:hAnsi="Arial" w:eastAsia="宋体" w:cs="Arial"/>
          <w:b/>
          <w:sz w:val="24"/>
          <w:szCs w:val="24"/>
          <w:lang w:eastAsia="zh-CN"/>
        </w:rPr>
        <w:tab/>
      </w:r>
      <w:bookmarkStart w:id="4" w:name="_GoBack"/>
      <w:r>
        <w:rPr>
          <w:rFonts w:ascii="Arial" w:hAnsi="Arial" w:eastAsia="宋体" w:cs="Arial"/>
          <w:b/>
          <w:sz w:val="24"/>
          <w:szCs w:val="24"/>
          <w:lang w:eastAsia="zh-CN"/>
        </w:rPr>
        <w:t>R4-2</w:t>
      </w:r>
      <w:r>
        <w:rPr>
          <w:rFonts w:hint="eastAsia" w:eastAsia="宋体" w:cs="Arial"/>
          <w:b/>
          <w:sz w:val="24"/>
          <w:szCs w:val="24"/>
          <w:lang w:val="en-US" w:eastAsia="zh-CN"/>
        </w:rPr>
        <w:t>500707</w:t>
      </w:r>
      <w:bookmarkEnd w:id="4"/>
    </w:p>
    <w:p>
      <w:pPr>
        <w:pStyle w:val="45"/>
        <w:tabs>
          <w:tab w:val="right" w:pos="9781"/>
          <w:tab w:val="right" w:pos="13323"/>
        </w:tabs>
        <w:spacing w:before="60" w:after="60"/>
        <w:outlineLvl w:val="0"/>
        <w:rPr>
          <w:rFonts w:hint="eastAsia" w:ascii="Arial" w:hAnsi="Arial" w:eastAsia="宋体" w:cs="Arial"/>
          <w:b/>
          <w:sz w:val="24"/>
          <w:szCs w:val="24"/>
          <w:lang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5251</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18.</w:t>
            </w:r>
            <w:r>
              <w:rPr>
                <w:rFonts w:hint="eastAsia"/>
                <w:b/>
                <w:bCs/>
                <w:sz w:val="28"/>
                <w:szCs w:val="28"/>
                <w:highlight w:val="none"/>
                <w:lang w:val="en-US" w:eastAsia="zh-CN"/>
              </w:rPr>
              <w:t>8</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9" w:hRule="atLeast"/>
        </w:trPr>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(NR_Mob_enh2-Pref) Correction on test cases for </w:t>
            </w:r>
            <w:r>
              <w:rPr>
                <w:lang w:eastAsia="zh-CN"/>
              </w:rPr>
              <w:t>Idle mode fast CA/DC measurement</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pPr>
            <w:r>
              <w:rPr>
                <w:lang w:eastAsia="en-US"/>
              </w:rPr>
              <w:t>ZTE</w:t>
            </w:r>
            <w:r>
              <w:rPr>
                <w:rFonts w:hint="eastAsia"/>
              </w:rPr>
              <w:t xml:space="preserve"> Corporation</w:t>
            </w:r>
            <w:r>
              <w:rPr>
                <w:rFonts w:hint="eastAsia"/>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t>NR_Mob_enh2-Perf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lang w:val="en-US"/>
              </w:rPr>
            </w:pPr>
            <w:r>
              <w:t>202</w:t>
            </w:r>
            <w:r>
              <w:rPr>
                <w:rFonts w:hint="eastAsia"/>
                <w:lang w:val="en-US" w:eastAsia="zh-CN"/>
              </w:rPr>
              <w:t>5</w:t>
            </w:r>
            <w:r>
              <w:t>-0</w:t>
            </w:r>
            <w:r>
              <w:rPr>
                <w:rFonts w:hint="eastAsia"/>
                <w:lang w:val="en-US" w:eastAsia="zh-CN"/>
              </w:rPr>
              <w:t>2</w:t>
            </w:r>
            <w:r>
              <w:t>-</w:t>
            </w:r>
            <w:r>
              <w:rPr>
                <w:rFonts w:hint="eastAsia"/>
                <w:lang w:val="en-US" w:eastAsia="zh-CN"/>
              </w:rPr>
              <w:t>05</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numPr>
                <w:ilvl w:val="-1"/>
                <w:numId w:val="0"/>
              </w:numPr>
              <w:spacing w:after="0"/>
              <w:ind w:left="0"/>
              <w:rPr>
                <w:rFonts w:hint="default" w:eastAsiaTheme="minorEastAsia"/>
                <w:color w:val="000000"/>
                <w:lang w:val="en-US" w:eastAsia="zh-CN"/>
              </w:rPr>
            </w:pPr>
            <w:r>
              <w:rPr>
                <w:rFonts w:hint="eastAsia" w:eastAsia="宋体"/>
                <w:color w:val="000000"/>
                <w:lang w:val="en-US" w:eastAsia="zh-CN"/>
              </w:rPr>
              <w:t>Update the name of signalling,</w:t>
            </w:r>
            <w:r>
              <w:t xml:space="preserve"> </w:t>
            </w:r>
            <w:r>
              <w:rPr>
                <w:rFonts w:hint="eastAsia"/>
                <w:lang w:val="en-US" w:eastAsia="zh-CN"/>
              </w:rPr>
              <w:t xml:space="preserve">change </w:t>
            </w:r>
            <w:r>
              <w:rPr>
                <w:i/>
                <w:iCs/>
              </w:rPr>
              <w:t>measIdleValidityDuration</w:t>
            </w:r>
            <w:r>
              <w:rPr>
                <w:rFonts w:hint="eastAsia"/>
                <w:i/>
                <w:iCs/>
                <w:lang w:val="en-US" w:eastAsia="zh-CN"/>
              </w:rPr>
              <w:t xml:space="preserve"> </w:t>
            </w:r>
            <w:r>
              <w:rPr>
                <w:rFonts w:hint="eastAsia"/>
                <w:i w:val="0"/>
                <w:iCs w:val="0"/>
                <w:lang w:val="en-US" w:eastAsia="zh-CN"/>
              </w:rPr>
              <w:t>to</w:t>
            </w:r>
            <w:r>
              <w:rPr>
                <w:rFonts w:hint="eastAsia"/>
                <w:i/>
                <w:iCs/>
                <w:lang w:val="en-US" w:eastAsia="zh-CN"/>
              </w:rPr>
              <w:t xml:space="preserve"> </w:t>
            </w:r>
            <w:r>
              <w:t xml:space="preserve"> </w:t>
            </w:r>
            <w:r>
              <w:rPr>
                <w:i/>
                <w:iCs/>
              </w:rPr>
              <w:t>measIdleValidityDuration</w:t>
            </w:r>
            <w:r>
              <w:rPr>
                <w:rFonts w:hint="eastAsia"/>
                <w:i/>
                <w:iCs/>
                <w:lang w:val="en-US" w:eastAsia="zh-CN"/>
              </w:rPr>
              <w:t>-18;</w:t>
            </w:r>
          </w:p>
          <w:p>
            <w:pPr>
              <w:pStyle w:val="105"/>
              <w:numPr>
                <w:ilvl w:val="-1"/>
                <w:numId w:val="0"/>
              </w:numPr>
              <w:spacing w:after="0"/>
              <w:ind w:left="0"/>
              <w:rPr>
                <w:rFonts w:hint="default" w:eastAsia="宋体"/>
                <w:color w:val="000000"/>
                <w:lang w:val="en-US" w:eastAsia="zh-CN"/>
              </w:rPr>
            </w:pPr>
          </w:p>
          <w:p>
            <w:pPr>
              <w:pStyle w:val="105"/>
              <w:numPr>
                <w:ilvl w:val="-1"/>
                <w:numId w:val="0"/>
              </w:numPr>
              <w:spacing w:after="0"/>
              <w:ind w:left="0"/>
              <w:rPr>
                <w:rFonts w:hint="default" w:eastAsia="宋体"/>
                <w:color w:val="000000"/>
                <w:lang w:val="en-US" w:eastAsia="zh-CN"/>
              </w:rPr>
            </w:pPr>
            <w:r>
              <w:rPr>
                <w:rFonts w:hint="eastAsia" w:eastAsia="宋体"/>
                <w:color w:val="000000"/>
                <w:lang w:val="en-US" w:eastAsia="zh-CN"/>
              </w:rPr>
              <w:t xml:space="preserve">Remove </w:t>
            </w:r>
            <w:r>
              <w:rPr>
                <w:rFonts w:hint="default" w:eastAsia="宋体"/>
                <w:color w:val="000000"/>
                <w:lang w:val="en-US" w:eastAsia="zh-CN"/>
              </w:rPr>
              <w:t>“</w:t>
            </w:r>
            <w:r>
              <w:rPr>
                <w:rFonts w:hint="eastAsia" w:eastAsia="宋体"/>
                <w:color w:val="000000"/>
                <w:lang w:val="en-US" w:eastAsia="zh-CN"/>
              </w:rPr>
              <w:t>test case for</w:t>
            </w:r>
            <w:r>
              <w:rPr>
                <w:rFonts w:hint="default" w:eastAsia="宋体"/>
                <w:color w:val="000000"/>
                <w:lang w:val="en-US" w:eastAsia="zh-CN"/>
              </w:rPr>
              <w:t>”</w:t>
            </w:r>
            <w:r>
              <w:rPr>
                <w:rFonts w:hint="eastAsia" w:eastAsia="宋体"/>
                <w:color w:val="000000"/>
                <w:lang w:val="en-US" w:eastAsia="zh-CN"/>
              </w:rPr>
              <w:t xml:space="preserve"> from title.</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numPr>
                <w:ilvl w:val="-1"/>
                <w:numId w:val="0"/>
              </w:numPr>
              <w:spacing w:after="0"/>
              <w:ind w:left="0"/>
              <w:rPr>
                <w:rFonts w:hint="default" w:eastAsiaTheme="minorEastAsia"/>
                <w:color w:val="000000"/>
                <w:lang w:val="en-US" w:eastAsia="zh-CN"/>
              </w:rPr>
            </w:pPr>
            <w:r>
              <w:rPr>
                <w:rFonts w:hint="eastAsia" w:eastAsia="宋体"/>
                <w:color w:val="000000"/>
                <w:lang w:val="en-US" w:eastAsia="zh-CN"/>
              </w:rPr>
              <w:t>Update the name of signalling,</w:t>
            </w:r>
            <w:r>
              <w:t xml:space="preserve"> </w:t>
            </w:r>
            <w:r>
              <w:rPr>
                <w:rFonts w:hint="eastAsia"/>
                <w:lang w:val="en-US" w:eastAsia="zh-CN"/>
              </w:rPr>
              <w:t xml:space="preserve">change </w:t>
            </w:r>
            <w:r>
              <w:rPr>
                <w:i/>
                <w:iCs/>
              </w:rPr>
              <w:t>measIdleValidityDuration</w:t>
            </w:r>
            <w:r>
              <w:rPr>
                <w:rFonts w:hint="eastAsia"/>
                <w:i/>
                <w:iCs/>
                <w:lang w:val="en-US" w:eastAsia="zh-CN"/>
              </w:rPr>
              <w:t xml:space="preserve"> </w:t>
            </w:r>
            <w:r>
              <w:rPr>
                <w:rFonts w:hint="eastAsia"/>
                <w:i w:val="0"/>
                <w:iCs w:val="0"/>
                <w:lang w:val="en-US" w:eastAsia="zh-CN"/>
              </w:rPr>
              <w:t>to</w:t>
            </w:r>
            <w:r>
              <w:rPr>
                <w:rFonts w:hint="eastAsia"/>
                <w:i/>
                <w:iCs/>
                <w:lang w:val="en-US" w:eastAsia="zh-CN"/>
              </w:rPr>
              <w:t xml:space="preserve"> </w:t>
            </w:r>
            <w:r>
              <w:t xml:space="preserve"> </w:t>
            </w:r>
            <w:r>
              <w:rPr>
                <w:i/>
                <w:iCs/>
              </w:rPr>
              <w:t>measIdleValidityDuration</w:t>
            </w:r>
            <w:r>
              <w:rPr>
                <w:rFonts w:hint="eastAsia"/>
                <w:i/>
                <w:iCs/>
                <w:lang w:val="en-US" w:eastAsia="zh-CN"/>
              </w:rPr>
              <w:t>-18;</w:t>
            </w:r>
          </w:p>
          <w:p>
            <w:pPr>
              <w:pStyle w:val="105"/>
              <w:numPr>
                <w:ilvl w:val="-1"/>
                <w:numId w:val="0"/>
              </w:numPr>
              <w:spacing w:after="0"/>
              <w:ind w:left="0"/>
              <w:rPr>
                <w:rFonts w:hint="default" w:eastAsia="宋体"/>
                <w:color w:val="000000"/>
                <w:lang w:val="en-US" w:eastAsia="zh-CN"/>
              </w:rPr>
            </w:pPr>
          </w:p>
          <w:p>
            <w:pPr>
              <w:pStyle w:val="105"/>
              <w:spacing w:after="0"/>
              <w:ind w:left="0"/>
              <w:rPr>
                <w:rFonts w:hint="default"/>
                <w:lang w:val="en-US" w:eastAsia="zh-CN"/>
              </w:rPr>
            </w:pPr>
            <w:r>
              <w:rPr>
                <w:rFonts w:hint="eastAsia" w:eastAsia="宋体"/>
                <w:color w:val="000000"/>
                <w:lang w:val="en-US" w:eastAsia="zh-CN"/>
              </w:rPr>
              <w:t xml:space="preserve">Remove </w:t>
            </w:r>
            <w:r>
              <w:rPr>
                <w:rFonts w:hint="default" w:eastAsia="宋体"/>
                <w:color w:val="000000"/>
                <w:lang w:val="en-US" w:eastAsia="zh-CN"/>
              </w:rPr>
              <w:t>“</w:t>
            </w:r>
            <w:r>
              <w:rPr>
                <w:rFonts w:hint="eastAsia" w:eastAsia="宋体"/>
                <w:color w:val="000000"/>
                <w:lang w:val="en-US" w:eastAsia="zh-CN"/>
              </w:rPr>
              <w:t>test case for</w:t>
            </w:r>
            <w:r>
              <w:rPr>
                <w:rFonts w:hint="default" w:eastAsia="宋体"/>
                <w:color w:val="000000"/>
                <w:lang w:val="en-US" w:eastAsia="zh-CN"/>
              </w:rPr>
              <w:t>”</w:t>
            </w:r>
            <w:r>
              <w:rPr>
                <w:rFonts w:hint="eastAsia" w:eastAsia="宋体"/>
                <w:color w:val="000000"/>
                <w:lang w:val="en-US" w:eastAsia="zh-CN"/>
              </w:rPr>
              <w:t xml:space="preserve"> from title.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rPr>
                <w:rFonts w:hint="default" w:eastAsiaTheme="minorEastAsia"/>
                <w:lang w:val="en-US" w:eastAsia="zh-CN"/>
              </w:rPr>
            </w:pPr>
            <w:r>
              <w:rPr>
                <w:rFonts w:hint="eastAsia" w:eastAsia="宋体"/>
                <w:color w:val="000000"/>
                <w:lang w:val="en-US" w:eastAsia="zh-CN"/>
              </w:rPr>
              <w:t>The name of signalling is incorrect.</w:t>
            </w:r>
          </w:p>
        </w:tc>
      </w:tr>
      <w:tr>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A.6.6.9.2, A.6.6.9.3, A.6.6.9.4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jc w:val="center"/>
        <w:rPr>
          <w:rFonts w:eastAsia="宋体"/>
          <w:highlight w:val="yellow"/>
          <w:lang w:eastAsia="zh-CN"/>
        </w:rPr>
      </w:pPr>
      <w:bookmarkStart w:id="2" w:name="_Toc526331617"/>
      <w:r>
        <w:rPr>
          <w:rFonts w:eastAsia="宋体"/>
          <w:highlight w:val="yellow"/>
          <w:lang w:eastAsia="zh-CN"/>
        </w:rPr>
        <w:t>&lt;Start of Change 1&gt;</w:t>
      </w:r>
    </w:p>
    <w:p>
      <w:pPr>
        <w:pStyle w:val="5"/>
        <w:keepNext w:val="0"/>
        <w:keepLines w:val="0"/>
        <w:rPr>
          <w:lang w:eastAsia="zh-CN"/>
        </w:rPr>
      </w:pPr>
      <w:bookmarkStart w:id="3" w:name="_Hlk164790655"/>
      <w:r>
        <w:rPr>
          <w:lang w:eastAsia="zh-CN"/>
        </w:rPr>
        <w:t>A.6.6.9.2</w:t>
      </w:r>
      <w:r>
        <w:rPr>
          <w:lang w:eastAsia="zh-CN"/>
        </w:rPr>
        <w:tab/>
      </w:r>
      <w:del w:id="0" w:author="Wu Yan (ZTE)" w:date="2025-02-05T09:44:04Z">
        <w:r>
          <w:rPr>
            <w:lang w:eastAsia="zh-CN"/>
          </w:rPr>
          <w:delText xml:space="preserve">Test case for </w:delText>
        </w:r>
      </w:del>
      <w:r>
        <w:rPr>
          <w:lang w:eastAsia="zh-CN"/>
        </w:rPr>
        <w:t>Idle mode fast CA/DC eEMR measurement for FR1 without valid reporting</w:t>
      </w:r>
    </w:p>
    <w:p>
      <w:pPr>
        <w:pStyle w:val="6"/>
        <w:keepNext w:val="0"/>
        <w:keepLines w:val="0"/>
        <w:rPr>
          <w:lang w:eastAsia="zh-CN"/>
        </w:rPr>
      </w:pPr>
      <w:r>
        <w:rPr>
          <w:lang w:eastAsia="zh-CN"/>
        </w:rPr>
        <w:t>A.6.6.9.2.1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measValidationReportEMR-r18</w:t>
      </w:r>
      <w:r>
        <w:t xml:space="preserve">. This test will partly verify the fast CA/DC measurement reporting requirements in clause 4.7 when </w:t>
      </w:r>
      <w:r>
        <w:rPr>
          <w:i/>
          <w:iCs/>
        </w:rPr>
        <w:t>measIdleValidityDuration</w:t>
      </w:r>
      <w:ins w:id="1" w:author="Wu Yan (ZTE)" w:date="2025-02-05T09:44:09Z">
        <w:r>
          <w:rPr>
            <w:rFonts w:hint="eastAsia"/>
            <w:i/>
            <w:iCs/>
            <w:lang w:val="en-US" w:eastAsia="zh-CN"/>
          </w:rPr>
          <w:t>-</w:t>
        </w:r>
      </w:ins>
      <w:ins w:id="2" w:author="Wu Yan (ZTE)" w:date="2025-02-05T09:44:11Z">
        <w:r>
          <w:rPr>
            <w:rFonts w:hint="eastAsia"/>
            <w:i/>
            <w:iCs/>
            <w:lang w:val="en-US" w:eastAsia="zh-CN"/>
          </w:rPr>
          <w:t>r</w:t>
        </w:r>
      </w:ins>
      <w:ins w:id="3" w:author="Wu Yan (ZTE)" w:date="2025-02-05T09:44:13Z">
        <w:r>
          <w:rPr>
            <w:rFonts w:hint="eastAsia"/>
            <w:i/>
            <w:iCs/>
            <w:lang w:val="en-US" w:eastAsia="zh-CN"/>
          </w:rPr>
          <w:t>18</w:t>
        </w:r>
      </w:ins>
      <w:r>
        <w:rPr>
          <w:i/>
          <w:iCs/>
        </w:rPr>
        <w:t xml:space="preserve"> </w:t>
      </w:r>
      <w:r>
        <w:t>is configured for the test case when there are no measurement results to report at RRC connection setup.</w:t>
      </w:r>
    </w:p>
    <w:p>
      <w:r>
        <w:t>In this test, there are two cells: NR Cell 1 as PCell in FR1 on NR RF channel 1 and NR Cell 2 as</w:t>
      </w:r>
      <w:r>
        <w:rPr>
          <w:rFonts w:hint="eastAsia"/>
          <w:lang w:eastAsia="ko-KR"/>
        </w:rPr>
        <w:t xml:space="preserve"> inter-frequency</w:t>
      </w:r>
      <w:r>
        <w:t xml:space="preserve"> neighbour cell in FR1 on NR RF channel 2.  The test parameters are given in tables A.6.6.9.2.1-1, A.6.6.9.2.1-2, A.6.6.9.2.1-3.</w:t>
      </w:r>
    </w:p>
    <w:p>
      <w:r>
        <w:t xml:space="preserve">The test consists of 4 successive time periods, with time duration of T1, T2, T3 and T4 respectively. </w:t>
      </w:r>
    </w:p>
    <w:p>
      <w:r>
        <w:t xml:space="preserve">During T1, the UE is connected to Cell 1 only and shall not have any timing information of Cell 2. UE is configured with early measurement reporting for Cell 2 in </w:t>
      </w:r>
      <w:r>
        <w:rPr>
          <w:i/>
          <w:iCs/>
        </w:rPr>
        <w:t>measIdleCarrierListNR-r16</w:t>
      </w:r>
      <w:r>
        <w:t>. Beam level reporting for early measurements is not configured. The time point when UE receives RRC_Release message from the TE defines the starting point of T2.</w:t>
      </w:r>
    </w:p>
    <w:p>
      <w:pPr>
        <w:rPr>
          <w:color w:val="000000" w:themeColor="text1"/>
          <w14:textFill>
            <w14:solidFill>
              <w14:schemeClr w14:val="tx1"/>
            </w14:solidFill>
          </w14:textFill>
        </w:rPr>
      </w:pPr>
      <w:r>
        <w:rPr>
          <w:color w:val="000000" w:themeColor="text1"/>
          <w14:textFill>
            <w14:solidFill>
              <w14:schemeClr w14:val="tx1"/>
            </w14:solidFill>
          </w14:textFill>
        </w:rPr>
        <w:t>During T2 and T3 the UE is in idle mode.</w:t>
      </w:r>
    </w:p>
    <w:p>
      <w:r>
        <w:rPr>
          <w:color w:val="000000" w:themeColor="text1"/>
          <w14:textFill>
            <w14:solidFill>
              <w14:schemeClr w14:val="tx1"/>
            </w14:solidFill>
          </w14:textFill>
        </w:rPr>
        <w:t xml:space="preserve">At the beginning of T2, Cell 2 becomes detectable however cell reselection shall not be performed. Signal level of Cell 2 is set to the value given in table A.6.6.9.2.1-3. </w:t>
      </w:r>
      <w:r>
        <w:t>The time when T331 timer expires defines the ending point of T2.</w:t>
      </w:r>
    </w:p>
    <w:p>
      <w:pPr>
        <w:spacing w:after="120"/>
        <w:rPr>
          <w:i/>
        </w:rPr>
      </w:pPr>
      <w:r>
        <w:rPr>
          <w:iCs/>
        </w:rPr>
        <w:t>At the beginning of T3, the signal level of the neighbour cell is set to turned off.</w:t>
      </w:r>
      <w:r>
        <w:rPr>
          <w:i/>
        </w:rPr>
        <w:t xml:space="preserve">  </w:t>
      </w:r>
      <w:r>
        <w:rPr>
          <w:color w:val="000000"/>
        </w:rPr>
        <w:t xml:space="preserve">The duration of the T3 equals to </w:t>
      </w:r>
      <w:r>
        <w:rPr>
          <w:i/>
        </w:rPr>
        <w:t>measIdleValidityDuration</w:t>
      </w:r>
      <w:ins w:id="4" w:author="Wu Yan (ZTE)" w:date="2025-02-05T09:44:45Z">
        <w:r>
          <w:rPr>
            <w:rFonts w:hint="eastAsia"/>
            <w:i/>
            <w:lang w:val="en-US" w:eastAsia="zh-CN"/>
          </w:rPr>
          <w:t>-</w:t>
        </w:r>
      </w:ins>
      <w:ins w:id="5" w:author="Wu Yan (ZTE)" w:date="2025-02-05T09:44:46Z">
        <w:r>
          <w:rPr>
            <w:rFonts w:hint="eastAsia"/>
            <w:i/>
            <w:lang w:val="en-US" w:eastAsia="zh-CN"/>
          </w:rPr>
          <w:t>r</w:t>
        </w:r>
      </w:ins>
      <w:ins w:id="6" w:author="Wu Yan (ZTE)" w:date="2025-02-05T09:44:47Z">
        <w:r>
          <w:rPr>
            <w:rFonts w:hint="eastAsia"/>
            <w:i/>
            <w:lang w:val="en-US" w:eastAsia="zh-CN"/>
          </w:rPr>
          <w:t>18</w:t>
        </w:r>
      </w:ins>
      <w:r>
        <w:rPr>
          <w:i/>
        </w:rPr>
        <w:t>.</w:t>
      </w:r>
    </w:p>
    <w:p>
      <w:pPr>
        <w:spacing w:after="120"/>
        <w:rPr>
          <w:iCs/>
          <w:color w:val="000000" w:themeColor="text1"/>
          <w14:textFill>
            <w14:solidFill>
              <w14:schemeClr w14:val="tx1"/>
            </w14:solidFill>
          </w14:textFill>
        </w:rPr>
      </w:pPr>
      <w:r>
        <w:rPr>
          <w:iCs/>
        </w:rPr>
        <w:t>The time when TE sends the paging message is defined as the starting point of T4. During T4, in this test the UE shall not send measurement report.</w:t>
      </w:r>
    </w:p>
    <w:p>
      <w:pPr>
        <w:pStyle w:val="79"/>
        <w:keepNext w:val="0"/>
        <w:keepLines w:val="0"/>
      </w:pPr>
      <w:r>
        <w:t>Table A.6.6.9.2.1-1: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A.6.6.9.2.1-2: General test parameters for Idle mode fast CA/DC eEMR measurement for FR1 </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7"/>
        <w:gridCol w:w="603"/>
        <w:gridCol w:w="1286"/>
        <w:gridCol w:w="2559"/>
        <w:gridCol w:w="3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5"/>
              <w:keepNext w:val="0"/>
              <w:keepLines w:val="0"/>
            </w:pPr>
            <w:r>
              <w:t>Parameter</w:t>
            </w:r>
          </w:p>
        </w:tc>
        <w:tc>
          <w:tcPr>
            <w:tcW w:w="312" w:type="pct"/>
            <w:tcBorders>
              <w:top w:val="single" w:color="auto" w:sz="4" w:space="0"/>
              <w:left w:val="single" w:color="auto" w:sz="4" w:space="0"/>
              <w:bottom w:val="nil"/>
              <w:right w:val="single" w:color="auto" w:sz="4" w:space="0"/>
            </w:tcBorders>
          </w:tcPr>
          <w:p>
            <w:pPr>
              <w:pStyle w:val="75"/>
              <w:keepNext w:val="0"/>
              <w:keepLines w:val="0"/>
            </w:pPr>
            <w:r>
              <w:t>Unit</w:t>
            </w:r>
          </w:p>
        </w:tc>
        <w:tc>
          <w:tcPr>
            <w:tcW w:w="656" w:type="pct"/>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1312" w:type="pct"/>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1610" w:type="pct"/>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5"/>
              <w:keepNext w:val="0"/>
              <w:keepLines w:val="0"/>
            </w:pPr>
          </w:p>
        </w:tc>
        <w:tc>
          <w:tcPr>
            <w:tcW w:w="312" w:type="pct"/>
            <w:tcBorders>
              <w:top w:val="nil"/>
              <w:left w:val="single" w:color="auto" w:sz="4" w:space="0"/>
              <w:bottom w:val="single" w:color="auto" w:sz="4" w:space="0"/>
              <w:right w:val="single" w:color="auto" w:sz="4" w:space="0"/>
            </w:tcBorders>
          </w:tcPr>
          <w:p>
            <w:pPr>
              <w:pStyle w:val="75"/>
              <w:keepNext w:val="0"/>
              <w:keepLines w:val="0"/>
            </w:pPr>
          </w:p>
        </w:tc>
        <w:tc>
          <w:tcPr>
            <w:tcW w:w="656" w:type="pct"/>
            <w:tcBorders>
              <w:top w:val="nil"/>
              <w:left w:val="single" w:color="auto" w:sz="4" w:space="0"/>
              <w:bottom w:val="single" w:color="auto" w:sz="4" w:space="0"/>
              <w:right w:val="single" w:color="auto" w:sz="4" w:space="0"/>
            </w:tcBorders>
          </w:tcPr>
          <w:p>
            <w:pPr>
              <w:pStyle w:val="75"/>
              <w:keepNext w:val="0"/>
              <w:keepLines w:val="0"/>
            </w:pPr>
          </w:p>
        </w:tc>
        <w:tc>
          <w:tcPr>
            <w:tcW w:w="1312" w:type="pct"/>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1610" w:type="pct"/>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(PCell)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nil"/>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SSB.2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Normal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OFF</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rPr>
                <w:lang w:eastAsia="ko-KR"/>
              </w:rPr>
            </w:pPr>
            <w:r>
              <w:t>0.32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T331</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rPr>
                <w:i/>
              </w:rPr>
              <w:t>measIdleValidityDuration</w:t>
            </w:r>
            <w:ins w:id="7" w:author="Wu Yan (ZTE)" w:date="2025-02-05T15:28:24Z">
              <w:r>
                <w:rPr>
                  <w:rFonts w:hint="eastAsia"/>
                  <w:i/>
                  <w:lang w:val="en-US" w:eastAsia="zh-CN"/>
                </w:rPr>
                <w:t>-</w:t>
              </w:r>
            </w:ins>
            <w:ins w:id="8" w:author="Wu Yan (ZTE)" w:date="2025-02-05T15:28:26Z">
              <w:r>
                <w:rPr>
                  <w:rFonts w:hint="eastAsia"/>
                  <w:i/>
                  <w:lang w:val="en-US" w:eastAsia="zh-CN"/>
                </w:rPr>
                <w:t>r18</w:t>
              </w:r>
            </w:ins>
            <w:r>
              <w:t xml:space="preserve"> </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 ms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w:t>
            </w:r>
            <w:r>
              <w:rPr/>
              <w:sym w:font="Symbol" w:char="F06D"/>
            </w:r>
            <w:r>
              <w:t>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rPr>
                <w:lang w:eastAsia="ko-KR"/>
              </w:rPr>
            </w:pPr>
            <w:r>
              <w:rPr>
                <w:rFonts w:hint="eastAsia"/>
                <w:lang w:eastAsia="ko-KR"/>
              </w:rP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A.6.6.9.2.1-3: Cell specific test parameters for Idle and connected mode for fast CA/DC eEMR measurement for FR1</w:t>
      </w:r>
    </w:p>
    <w:tbl>
      <w:tblPr>
        <w:tblStyle w:val="59"/>
        <w:tblW w:w="98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6"/>
        <w:gridCol w:w="795"/>
        <w:gridCol w:w="663"/>
        <w:gridCol w:w="1724"/>
        <w:gridCol w:w="530"/>
        <w:gridCol w:w="530"/>
        <w:gridCol w:w="530"/>
        <w:gridCol w:w="533"/>
        <w:gridCol w:w="795"/>
        <w:gridCol w:w="796"/>
        <w:gridCol w:w="795"/>
        <w:gridCol w:w="79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2121" w:type="dxa"/>
            <w:gridSpan w:val="2"/>
            <w:tcBorders>
              <w:top w:val="single" w:color="auto" w:sz="4" w:space="0"/>
              <w:left w:val="single" w:color="auto" w:sz="4" w:space="0"/>
              <w:bottom w:val="nil"/>
              <w:right w:val="single" w:color="auto" w:sz="4" w:space="0"/>
            </w:tcBorders>
          </w:tcPr>
          <w:p>
            <w:pPr>
              <w:pStyle w:val="75"/>
              <w:keepLines w:val="0"/>
            </w:pPr>
            <w:r>
              <w:t>Parameter</w:t>
            </w:r>
          </w:p>
        </w:tc>
        <w:tc>
          <w:tcPr>
            <w:tcW w:w="663" w:type="dxa"/>
            <w:tcBorders>
              <w:top w:val="single" w:color="auto" w:sz="4" w:space="0"/>
              <w:left w:val="single" w:color="auto" w:sz="4" w:space="0"/>
              <w:bottom w:val="nil"/>
              <w:right w:val="single" w:color="auto" w:sz="4" w:space="0"/>
            </w:tcBorders>
          </w:tcPr>
          <w:p>
            <w:pPr>
              <w:pStyle w:val="75"/>
              <w:keepLines w:val="0"/>
            </w:pPr>
            <w:r>
              <w:t>Unit</w:t>
            </w:r>
          </w:p>
        </w:tc>
        <w:tc>
          <w:tcPr>
            <w:tcW w:w="1724" w:type="dxa"/>
            <w:tcBorders>
              <w:top w:val="single" w:color="auto" w:sz="4" w:space="0"/>
              <w:left w:val="single" w:color="auto" w:sz="4" w:space="0"/>
              <w:bottom w:val="nil"/>
              <w:right w:val="single" w:color="auto" w:sz="4" w:space="0"/>
            </w:tcBorders>
          </w:tcPr>
          <w:p>
            <w:pPr>
              <w:pStyle w:val="75"/>
              <w:keepLines w:val="0"/>
            </w:pPr>
            <w:r>
              <w:t>Test configuration</w:t>
            </w:r>
          </w:p>
        </w:tc>
        <w:tc>
          <w:tcPr>
            <w:tcW w:w="2123" w:type="dxa"/>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3190" w:type="dxa"/>
            <w:gridSpan w:val="5"/>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cantSplit/>
          <w:tblHeader/>
          <w:jc w:val="center"/>
        </w:trPr>
        <w:tc>
          <w:tcPr>
            <w:tcW w:w="2121" w:type="dxa"/>
            <w:gridSpan w:val="2"/>
            <w:tcBorders>
              <w:top w:val="nil"/>
              <w:left w:val="single" w:color="auto" w:sz="4" w:space="0"/>
              <w:bottom w:val="single" w:color="auto" w:sz="4" w:space="0"/>
              <w:right w:val="single" w:color="auto" w:sz="4" w:space="0"/>
            </w:tcBorders>
          </w:tcPr>
          <w:p>
            <w:pPr>
              <w:pStyle w:val="75"/>
              <w:keepLines w:val="0"/>
            </w:pPr>
          </w:p>
        </w:tc>
        <w:tc>
          <w:tcPr>
            <w:tcW w:w="663" w:type="dxa"/>
            <w:tcBorders>
              <w:top w:val="nil"/>
              <w:left w:val="single" w:color="auto" w:sz="4" w:space="0"/>
              <w:bottom w:val="single" w:color="auto" w:sz="4" w:space="0"/>
              <w:right w:val="single" w:color="auto" w:sz="4" w:space="0"/>
            </w:tcBorders>
          </w:tcPr>
          <w:p>
            <w:pPr>
              <w:pStyle w:val="75"/>
              <w:keepLines w:val="0"/>
            </w:pPr>
          </w:p>
        </w:tc>
        <w:tc>
          <w:tcPr>
            <w:tcW w:w="1724" w:type="dxa"/>
            <w:tcBorders>
              <w:top w:val="nil"/>
              <w:left w:val="single" w:color="auto" w:sz="4" w:space="0"/>
              <w:bottom w:val="single" w:color="auto" w:sz="4" w:space="0"/>
              <w:right w:val="single" w:color="auto" w:sz="4" w:space="0"/>
            </w:tcBorders>
          </w:tcPr>
          <w:p>
            <w:pPr>
              <w:pStyle w:val="75"/>
              <w:keepLines w:val="0"/>
            </w:pPr>
          </w:p>
        </w:tc>
        <w:tc>
          <w:tcPr>
            <w:tcW w:w="530" w:type="dxa"/>
            <w:tcBorders>
              <w:top w:val="single" w:color="auto" w:sz="4" w:space="0"/>
              <w:left w:val="single" w:color="auto" w:sz="4" w:space="0"/>
              <w:bottom w:val="single" w:color="auto" w:sz="4" w:space="0"/>
              <w:right w:val="single" w:color="auto" w:sz="4" w:space="0"/>
            </w:tcBorders>
          </w:tcPr>
          <w:p>
            <w:pPr>
              <w:pStyle w:val="75"/>
              <w:keepLines w:val="0"/>
            </w:pPr>
            <w:r>
              <w:t>T1</w:t>
            </w:r>
          </w:p>
        </w:tc>
        <w:tc>
          <w:tcPr>
            <w:tcW w:w="530" w:type="dxa"/>
            <w:tcBorders>
              <w:top w:val="single" w:color="auto" w:sz="4" w:space="0"/>
              <w:left w:val="single" w:color="auto" w:sz="4" w:space="0"/>
              <w:bottom w:val="single" w:color="auto" w:sz="4" w:space="0"/>
              <w:right w:val="single" w:color="auto" w:sz="4" w:space="0"/>
            </w:tcBorders>
          </w:tcPr>
          <w:p>
            <w:pPr>
              <w:pStyle w:val="75"/>
              <w:keepLines w:val="0"/>
            </w:pPr>
            <w:r>
              <w:t>T2</w:t>
            </w:r>
          </w:p>
        </w:tc>
        <w:tc>
          <w:tcPr>
            <w:tcW w:w="530" w:type="dxa"/>
            <w:tcBorders>
              <w:top w:val="single" w:color="auto" w:sz="4" w:space="0"/>
              <w:left w:val="single" w:color="auto" w:sz="4" w:space="0"/>
              <w:bottom w:val="single" w:color="auto" w:sz="4" w:space="0"/>
              <w:right w:val="single" w:color="auto" w:sz="4" w:space="0"/>
            </w:tcBorders>
          </w:tcPr>
          <w:p>
            <w:pPr>
              <w:pStyle w:val="75"/>
              <w:keepLines w:val="0"/>
            </w:pPr>
            <w:r>
              <w:t>T3</w:t>
            </w:r>
          </w:p>
        </w:tc>
        <w:tc>
          <w:tcPr>
            <w:tcW w:w="533" w:type="dxa"/>
            <w:tcBorders>
              <w:top w:val="single" w:color="auto" w:sz="4" w:space="0"/>
              <w:left w:val="single" w:color="auto" w:sz="4" w:space="0"/>
              <w:bottom w:val="single" w:color="auto" w:sz="4" w:space="0"/>
              <w:right w:val="single" w:color="auto" w:sz="4" w:space="0"/>
            </w:tcBorders>
          </w:tcPr>
          <w:p>
            <w:pPr>
              <w:pStyle w:val="75"/>
              <w:keepLines w:val="0"/>
            </w:pPr>
            <w:r>
              <w:t>T4</w:t>
            </w:r>
          </w:p>
        </w:tc>
        <w:tc>
          <w:tcPr>
            <w:tcW w:w="795" w:type="dxa"/>
            <w:tcBorders>
              <w:top w:val="single" w:color="auto" w:sz="4" w:space="0"/>
              <w:left w:val="single" w:color="auto" w:sz="4" w:space="0"/>
              <w:bottom w:val="single" w:color="auto" w:sz="4" w:space="0"/>
              <w:right w:val="single" w:color="auto" w:sz="4" w:space="0"/>
            </w:tcBorders>
          </w:tcPr>
          <w:p>
            <w:pPr>
              <w:pStyle w:val="75"/>
              <w:keepLines w:val="0"/>
            </w:pPr>
            <w:r>
              <w:t>T1</w:t>
            </w:r>
          </w:p>
        </w:tc>
        <w:tc>
          <w:tcPr>
            <w:tcW w:w="796" w:type="dxa"/>
            <w:tcBorders>
              <w:top w:val="single" w:color="auto" w:sz="4" w:space="0"/>
              <w:left w:val="single" w:color="auto" w:sz="4" w:space="0"/>
              <w:bottom w:val="single" w:color="auto" w:sz="4" w:space="0"/>
              <w:right w:val="single" w:color="auto" w:sz="4" w:space="0"/>
            </w:tcBorders>
          </w:tcPr>
          <w:p>
            <w:pPr>
              <w:pStyle w:val="75"/>
              <w:keepLines w:val="0"/>
            </w:pPr>
            <w:r>
              <w:t>T2</w:t>
            </w:r>
          </w:p>
        </w:tc>
        <w:tc>
          <w:tcPr>
            <w:tcW w:w="795" w:type="dxa"/>
            <w:tcBorders>
              <w:top w:val="single" w:color="auto" w:sz="4" w:space="0"/>
              <w:left w:val="single" w:color="auto" w:sz="4" w:space="0"/>
              <w:bottom w:val="single" w:color="auto" w:sz="4" w:space="0"/>
              <w:right w:val="single" w:color="auto" w:sz="4" w:space="0"/>
            </w:tcBorders>
          </w:tcPr>
          <w:p>
            <w:pPr>
              <w:pStyle w:val="75"/>
              <w:keepLines w:val="0"/>
            </w:pPr>
            <w:r>
              <w:t>T3</w:t>
            </w:r>
          </w:p>
        </w:tc>
        <w:tc>
          <w:tcPr>
            <w:tcW w:w="796" w:type="dxa"/>
            <w:tcBorders>
              <w:top w:val="single" w:color="auto" w:sz="4" w:space="0"/>
              <w:left w:val="single" w:color="auto" w:sz="4" w:space="0"/>
              <w:bottom w:val="single" w:color="auto" w:sz="4" w:space="0"/>
              <w:right w:val="single" w:color="auto" w:sz="4" w:space="0"/>
            </w:tcBorders>
          </w:tcPr>
          <w:p>
            <w:pPr>
              <w:pStyle w:val="75"/>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Lines w:val="0"/>
            </w:pPr>
            <w:r>
              <w:t>NR RF Channel Number</w:t>
            </w:r>
          </w:p>
        </w:tc>
        <w:tc>
          <w:tcPr>
            <w:tcW w:w="663" w:type="dxa"/>
            <w:tcBorders>
              <w:top w:val="single" w:color="auto" w:sz="4" w:space="0"/>
              <w:left w:val="single" w:color="auto" w:sz="4" w:space="0"/>
              <w:bottom w:val="single" w:color="auto" w:sz="4" w:space="0"/>
              <w:right w:val="single" w:color="auto" w:sz="4" w:space="0"/>
            </w:tcBorders>
          </w:tcPr>
          <w:p>
            <w:pPr>
              <w:pStyle w:val="77"/>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Lines w:val="0"/>
            </w:pPr>
            <w:r>
              <w:t>Config 1,2,3</w:t>
            </w:r>
          </w:p>
        </w:tc>
        <w:tc>
          <w:tcPr>
            <w:tcW w:w="2123" w:type="dxa"/>
            <w:gridSpan w:val="4"/>
            <w:tcBorders>
              <w:top w:val="single" w:color="auto" w:sz="4" w:space="0"/>
              <w:left w:val="single" w:color="auto" w:sz="4" w:space="0"/>
              <w:bottom w:val="single" w:color="auto" w:sz="4" w:space="0"/>
              <w:right w:val="single" w:color="auto" w:sz="4" w:space="0"/>
            </w:tcBorders>
          </w:tcPr>
          <w:p>
            <w:pPr>
              <w:pStyle w:val="77"/>
              <w:keepLines w:val="0"/>
            </w:pPr>
            <w:r>
              <w:t>1</w:t>
            </w:r>
          </w:p>
        </w:tc>
        <w:tc>
          <w:tcPr>
            <w:tcW w:w="3190" w:type="dxa"/>
            <w:gridSpan w:val="5"/>
            <w:tcBorders>
              <w:top w:val="single" w:color="auto" w:sz="4" w:space="0"/>
              <w:left w:val="single" w:color="auto" w:sz="4" w:space="0"/>
              <w:bottom w:val="single" w:color="auto" w:sz="4" w:space="0"/>
              <w:right w:val="single" w:color="auto" w:sz="4" w:space="0"/>
            </w:tcBorders>
          </w:tcPr>
          <w:p>
            <w:pPr>
              <w:pStyle w:val="77"/>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Lines w:val="0"/>
            </w:pPr>
            <w:r>
              <w:t>Duplex mode</w:t>
            </w:r>
          </w:p>
        </w:tc>
        <w:tc>
          <w:tcPr>
            <w:tcW w:w="663" w:type="dxa"/>
            <w:tcBorders>
              <w:top w:val="single" w:color="auto" w:sz="4" w:space="0"/>
              <w:left w:val="single" w:color="auto" w:sz="4" w:space="0"/>
              <w:bottom w:val="single" w:color="auto" w:sz="4" w:space="0"/>
              <w:right w:val="single" w:color="auto" w:sz="4" w:space="0"/>
            </w:tcBorders>
          </w:tcPr>
          <w:p>
            <w:pPr>
              <w:pStyle w:val="77"/>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Lines w:val="0"/>
            </w:pPr>
            <w:r>
              <w:t>Config 1</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Lines w:val="0"/>
            </w:pPr>
            <w:r>
              <w:t>Config 2,3</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Lines w:val="0"/>
            </w:pPr>
            <w:r>
              <w:t>TDD configuration</w:t>
            </w:r>
          </w:p>
        </w:tc>
        <w:tc>
          <w:tcPr>
            <w:tcW w:w="663" w:type="dxa"/>
            <w:tcBorders>
              <w:top w:val="single" w:color="auto" w:sz="4" w:space="0"/>
              <w:left w:val="single" w:color="auto" w:sz="4" w:space="0"/>
              <w:bottom w:val="single" w:color="auto" w:sz="4" w:space="0"/>
              <w:right w:val="single" w:color="auto" w:sz="4" w:space="0"/>
            </w:tcBorders>
          </w:tcPr>
          <w:p>
            <w:pPr>
              <w:pStyle w:val="77"/>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Lines w:val="0"/>
            </w:pPr>
            <w:r>
              <w:t>N.A</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nil"/>
              <w:right w:val="single" w:color="auto" w:sz="4" w:space="0"/>
            </w:tcBorders>
          </w:tcPr>
          <w:p>
            <w:pPr>
              <w:pStyle w:val="77"/>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Lines w:val="0"/>
            </w:pPr>
            <w:r>
              <w:t>TDDConf.1.1</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Lines w:val="0"/>
            </w:pPr>
            <w:r>
              <w:t>TDDConf.2.1</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663" w:type="dxa"/>
            <w:tcBorders>
              <w:top w:val="single" w:color="auto" w:sz="4" w:space="0"/>
              <w:left w:val="single" w:color="auto" w:sz="4" w:space="0"/>
              <w:bottom w:val="nil"/>
              <w:right w:val="single" w:color="auto" w:sz="4" w:space="0"/>
            </w:tcBorders>
          </w:tcPr>
          <w:p>
            <w:pPr>
              <w:pStyle w:val="77"/>
              <w:keepNext w:val="0"/>
              <w:keepLines w:val="0"/>
            </w:pPr>
            <w:r>
              <w:t>MHz</w:t>
            </w: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nil"/>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663" w:type="dxa"/>
            <w:tcBorders>
              <w:top w:val="single" w:color="auto" w:sz="4" w:space="0"/>
              <w:left w:val="single" w:color="auto" w:sz="4" w:space="0"/>
              <w:bottom w:val="nil"/>
              <w:right w:val="single" w:color="auto" w:sz="4" w:space="0"/>
            </w:tcBorders>
          </w:tcPr>
          <w:p>
            <w:pPr>
              <w:pStyle w:val="77"/>
              <w:keepNext w:val="0"/>
              <w:keepLines w:val="0"/>
            </w:pPr>
            <w:r>
              <w:t>MHz</w:t>
            </w: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nil"/>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6" w:type="dxa"/>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795" w:type="dxa"/>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nil"/>
              <w:right w:val="single" w:color="auto" w:sz="4" w:space="0"/>
            </w:tcBorders>
          </w:tcPr>
          <w:p>
            <w:pPr>
              <w:pStyle w:val="77"/>
              <w:keepNext w:val="0"/>
              <w:keepLines w:val="0"/>
            </w:pPr>
            <w:r>
              <w:t>Config 1, 2,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6" w:type="dxa"/>
            <w:tcBorders>
              <w:top w:val="nil"/>
              <w:left w:val="single" w:color="auto" w:sz="4" w:space="0"/>
              <w:bottom w:val="nil"/>
              <w:right w:val="single" w:color="auto" w:sz="4" w:space="0"/>
            </w:tcBorders>
          </w:tcPr>
          <w:p>
            <w:pPr>
              <w:pStyle w:val="77"/>
              <w:keepNext w:val="0"/>
              <w:keepLines w:val="0"/>
            </w:pPr>
          </w:p>
        </w:tc>
        <w:tc>
          <w:tcPr>
            <w:tcW w:w="795" w:type="dxa"/>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6" w:type="dxa"/>
            <w:tcBorders>
              <w:top w:val="nil"/>
              <w:left w:val="single" w:color="auto" w:sz="4" w:space="0"/>
              <w:bottom w:val="nil"/>
              <w:right w:val="single" w:color="auto" w:sz="4" w:space="0"/>
            </w:tcBorders>
          </w:tcPr>
          <w:p>
            <w:pPr>
              <w:pStyle w:val="77"/>
              <w:keepNext w:val="0"/>
              <w:keepLines w:val="0"/>
            </w:pPr>
          </w:p>
        </w:tc>
        <w:tc>
          <w:tcPr>
            <w:tcW w:w="795"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326" w:type="dxa"/>
            <w:tcBorders>
              <w:top w:val="nil"/>
              <w:left w:val="single" w:color="auto" w:sz="4" w:space="0"/>
              <w:bottom w:val="single" w:color="auto" w:sz="4" w:space="0"/>
              <w:right w:val="single" w:color="auto" w:sz="4" w:space="0"/>
            </w:tcBorders>
          </w:tcPr>
          <w:p>
            <w:pPr>
              <w:pStyle w:val="77"/>
              <w:keepNext w:val="0"/>
              <w:keepLines w:val="0"/>
            </w:pPr>
          </w:p>
        </w:tc>
        <w:tc>
          <w:tcPr>
            <w:tcW w:w="795"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single" w:color="auto" w:sz="4" w:space="0"/>
              <w:right w:val="single" w:color="auto" w:sz="4" w:space="0"/>
            </w:tcBorders>
          </w:tcPr>
          <w:p>
            <w:pPr>
              <w:pStyle w:val="77"/>
              <w:keepNext w:val="0"/>
              <w:keepLines w:val="0"/>
            </w:pP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663" w:type="dxa"/>
            <w:tcBorders>
              <w:top w:val="single" w:color="auto" w:sz="4" w:space="0"/>
              <w:left w:val="single" w:color="auto" w:sz="4" w:space="0"/>
              <w:bottom w:val="nil"/>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nil"/>
              <w:right w:val="single" w:color="auto" w:sz="4" w:space="0"/>
            </w:tcBorders>
          </w:tcPr>
          <w:p>
            <w:pPr>
              <w:pStyle w:val="77"/>
              <w:keepNext w:val="0"/>
              <w:keepLines w:val="0"/>
            </w:pPr>
          </w:p>
        </w:tc>
        <w:tc>
          <w:tcPr>
            <w:tcW w:w="663" w:type="dxa"/>
            <w:tcBorders>
              <w:top w:val="nil"/>
              <w:left w:val="single" w:color="auto" w:sz="4" w:space="0"/>
              <w:bottom w:val="nil"/>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nil"/>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nil"/>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nil"/>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nil"/>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663" w:type="dxa"/>
            <w:tcBorders>
              <w:top w:val="single" w:color="auto" w:sz="4" w:space="0"/>
              <w:left w:val="single" w:color="auto" w:sz="4" w:space="0"/>
              <w:bottom w:val="nil"/>
              <w:right w:val="single" w:color="auto" w:sz="4" w:space="0"/>
            </w:tcBorders>
          </w:tcPr>
          <w:p>
            <w:pPr>
              <w:pStyle w:val="77"/>
              <w:keepNext w:val="0"/>
              <w:keepLines w:val="0"/>
            </w:pPr>
            <w:r>
              <w:t>kHz</w:t>
            </w: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nil"/>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13" w:type="dxa"/>
            <w:gridSpan w:val="9"/>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nil"/>
              <w:right w:val="single" w:color="auto" w:sz="4" w:space="0"/>
            </w:tcBorders>
          </w:tcPr>
          <w:p>
            <w:pPr>
              <w:pStyle w:val="77"/>
              <w:keepNext w:val="0"/>
              <w:keepLines w:val="0"/>
            </w:pPr>
            <w:r>
              <w:t>Config 1,2,3</w:t>
            </w:r>
          </w:p>
        </w:tc>
        <w:tc>
          <w:tcPr>
            <w:tcW w:w="2123" w:type="dxa"/>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3190" w:type="dxa"/>
            <w:gridSpan w:val="5"/>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nil"/>
              <w:left w:val="single" w:color="auto" w:sz="4" w:space="0"/>
              <w:bottom w:val="nil"/>
              <w:right w:val="single" w:color="auto" w:sz="4" w:space="0"/>
            </w:tcBorders>
          </w:tcPr>
          <w:p>
            <w:pPr>
              <w:pStyle w:val="76"/>
              <w:keepNext w:val="0"/>
              <w:keepLines w:val="0"/>
            </w:pPr>
          </w:p>
        </w:tc>
        <w:tc>
          <w:tcPr>
            <w:tcW w:w="3190" w:type="dxa"/>
            <w:gridSpan w:val="5"/>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nil"/>
              <w:left w:val="single" w:color="auto" w:sz="4" w:space="0"/>
              <w:bottom w:val="nil"/>
              <w:right w:val="single" w:color="auto" w:sz="4" w:space="0"/>
            </w:tcBorders>
          </w:tcPr>
          <w:p>
            <w:pPr>
              <w:pStyle w:val="76"/>
              <w:keepNext w:val="0"/>
              <w:keepLines w:val="0"/>
            </w:pPr>
          </w:p>
        </w:tc>
        <w:tc>
          <w:tcPr>
            <w:tcW w:w="3190" w:type="dxa"/>
            <w:gridSpan w:val="5"/>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nil"/>
              <w:left w:val="single" w:color="auto" w:sz="4" w:space="0"/>
              <w:bottom w:val="nil"/>
              <w:right w:val="single" w:color="auto" w:sz="4" w:space="0"/>
            </w:tcBorders>
          </w:tcPr>
          <w:p>
            <w:pPr>
              <w:pStyle w:val="76"/>
              <w:keepNext w:val="0"/>
              <w:keepLines w:val="0"/>
            </w:pPr>
          </w:p>
        </w:tc>
        <w:tc>
          <w:tcPr>
            <w:tcW w:w="3190" w:type="dxa"/>
            <w:gridSpan w:val="5"/>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nil"/>
              <w:left w:val="single" w:color="auto" w:sz="4" w:space="0"/>
              <w:bottom w:val="nil"/>
              <w:right w:val="single" w:color="auto" w:sz="4" w:space="0"/>
            </w:tcBorders>
          </w:tcPr>
          <w:p>
            <w:pPr>
              <w:pStyle w:val="76"/>
              <w:keepNext w:val="0"/>
              <w:keepLines w:val="0"/>
            </w:pPr>
          </w:p>
        </w:tc>
        <w:tc>
          <w:tcPr>
            <w:tcW w:w="3190" w:type="dxa"/>
            <w:gridSpan w:val="5"/>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nil"/>
              <w:left w:val="single" w:color="auto" w:sz="4" w:space="0"/>
              <w:bottom w:val="nil"/>
              <w:right w:val="single" w:color="auto" w:sz="4" w:space="0"/>
            </w:tcBorders>
          </w:tcPr>
          <w:p>
            <w:pPr>
              <w:pStyle w:val="76"/>
              <w:keepNext w:val="0"/>
              <w:keepLines w:val="0"/>
            </w:pPr>
          </w:p>
        </w:tc>
        <w:tc>
          <w:tcPr>
            <w:tcW w:w="3190" w:type="dxa"/>
            <w:gridSpan w:val="5"/>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nil"/>
              <w:left w:val="single" w:color="auto" w:sz="4" w:space="0"/>
              <w:bottom w:val="nil"/>
              <w:right w:val="single" w:color="auto" w:sz="4" w:space="0"/>
            </w:tcBorders>
          </w:tcPr>
          <w:p>
            <w:pPr>
              <w:pStyle w:val="76"/>
              <w:keepNext w:val="0"/>
              <w:keepLines w:val="0"/>
            </w:pPr>
          </w:p>
        </w:tc>
        <w:tc>
          <w:tcPr>
            <w:tcW w:w="3190" w:type="dxa"/>
            <w:gridSpan w:val="5"/>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nil"/>
              <w:right w:val="single" w:color="auto" w:sz="4" w:space="0"/>
            </w:tcBorders>
          </w:tcPr>
          <w:p>
            <w:pPr>
              <w:pStyle w:val="77"/>
              <w:keepNext w:val="0"/>
              <w:keepLines w:val="0"/>
            </w:pPr>
          </w:p>
        </w:tc>
        <w:tc>
          <w:tcPr>
            <w:tcW w:w="2123" w:type="dxa"/>
            <w:gridSpan w:val="4"/>
            <w:tcBorders>
              <w:top w:val="nil"/>
              <w:left w:val="single" w:color="auto" w:sz="4" w:space="0"/>
              <w:bottom w:val="nil"/>
              <w:right w:val="single" w:color="auto" w:sz="4" w:space="0"/>
            </w:tcBorders>
          </w:tcPr>
          <w:p>
            <w:pPr>
              <w:pStyle w:val="76"/>
              <w:keepNext w:val="0"/>
              <w:keepLines w:val="0"/>
            </w:pPr>
          </w:p>
        </w:tc>
        <w:tc>
          <w:tcPr>
            <w:tcW w:w="3190" w:type="dxa"/>
            <w:gridSpan w:val="5"/>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nil"/>
              <w:left w:val="single" w:color="auto" w:sz="4" w:space="0"/>
              <w:bottom w:val="single" w:color="auto" w:sz="4" w:space="0"/>
              <w:right w:val="single" w:color="auto" w:sz="4" w:space="0"/>
            </w:tcBorders>
          </w:tcPr>
          <w:p>
            <w:pPr>
              <w:pStyle w:val="77"/>
              <w:keepNext w:val="0"/>
              <w:keepLines w:val="0"/>
            </w:pPr>
          </w:p>
        </w:tc>
        <w:tc>
          <w:tcPr>
            <w:tcW w:w="2123" w:type="dxa"/>
            <w:gridSpan w:val="4"/>
            <w:tcBorders>
              <w:top w:val="nil"/>
              <w:left w:val="single" w:color="auto" w:sz="4" w:space="0"/>
              <w:bottom w:val="single" w:color="auto" w:sz="4" w:space="0"/>
              <w:right w:val="single" w:color="auto" w:sz="4" w:space="0"/>
            </w:tcBorders>
          </w:tcPr>
          <w:p>
            <w:pPr>
              <w:pStyle w:val="76"/>
              <w:keepNext w:val="0"/>
              <w:keepLines w:val="0"/>
            </w:pPr>
          </w:p>
        </w:tc>
        <w:tc>
          <w:tcPr>
            <w:tcW w:w="3190" w:type="dxa"/>
            <w:gridSpan w:val="5"/>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5"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Note2</w:t>
            </w:r>
          </w:p>
        </w:tc>
        <w:tc>
          <w:tcPr>
            <w:tcW w:w="663" w:type="dxa"/>
            <w:tcBorders>
              <w:top w:val="single" w:color="auto" w:sz="4" w:space="0"/>
              <w:left w:val="single" w:color="auto" w:sz="4" w:space="0"/>
              <w:bottom w:val="single" w:color="auto" w:sz="4" w:space="0"/>
              <w:right w:val="single" w:color="auto" w:sz="4" w:space="0"/>
            </w:tcBorders>
          </w:tcPr>
          <w:p>
            <w:pPr>
              <w:pStyle w:val="76"/>
              <w:keepNext w:val="0"/>
              <w:keepLines w:val="0"/>
            </w:pPr>
            <w:r>
              <w:t>dBm/15 kHz</w:t>
            </w: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object>
                <v:shape id="_x0000_i1026"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r>
              <w:t>Note2</w:t>
            </w:r>
          </w:p>
        </w:tc>
        <w:tc>
          <w:tcPr>
            <w:tcW w:w="663" w:type="dxa"/>
            <w:tcBorders>
              <w:top w:val="single" w:color="auto" w:sz="4" w:space="0"/>
              <w:left w:val="single" w:color="auto" w:sz="4" w:space="0"/>
              <w:bottom w:val="nil"/>
              <w:right w:val="single" w:color="auto" w:sz="4" w:space="0"/>
            </w:tcBorders>
          </w:tcPr>
          <w:p>
            <w:pPr>
              <w:pStyle w:val="76"/>
              <w:keepNext w:val="0"/>
              <w:keepLines w:val="0"/>
            </w:pPr>
            <w:r>
              <w:t>dBm/SCS</w:t>
            </w: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1,2</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nil"/>
              <w:left w:val="single" w:color="auto" w:sz="4" w:space="0"/>
              <w:bottom w:val="single" w:color="auto" w:sz="4" w:space="0"/>
              <w:right w:val="single" w:color="auto" w:sz="4" w:space="0"/>
            </w:tcBorders>
          </w:tcPr>
          <w:p>
            <w:pPr>
              <w:pStyle w:val="76"/>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3190" w:type="dxa"/>
            <w:gridSpan w:val="5"/>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663" w:type="dxa"/>
            <w:tcBorders>
              <w:top w:val="single" w:color="auto" w:sz="4" w:space="0"/>
              <w:left w:val="single" w:color="auto" w:sz="4" w:space="0"/>
              <w:bottom w:val="nil"/>
              <w:right w:val="single" w:color="auto" w:sz="4" w:space="0"/>
            </w:tcBorders>
          </w:tcPr>
          <w:p>
            <w:pPr>
              <w:pStyle w:val="76"/>
              <w:keepNext w:val="0"/>
              <w:keepLines w:val="0"/>
            </w:pPr>
            <w:r>
              <w:t>dBm/SCS</w:t>
            </w: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1,2</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nil"/>
              <w:left w:val="single" w:color="auto" w:sz="4" w:space="0"/>
              <w:bottom w:val="single" w:color="auto" w:sz="4" w:space="0"/>
              <w:right w:val="single" w:color="auto" w:sz="4" w:space="0"/>
            </w:tcBorders>
          </w:tcPr>
          <w:p>
            <w:pPr>
              <w:pStyle w:val="76"/>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7" o:spt="75" type="#_x0000_t75" style="height:15.05pt;width:19.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663" w:type="dxa"/>
            <w:tcBorders>
              <w:top w:val="single" w:color="auto" w:sz="4" w:space="0"/>
              <w:left w:val="single" w:color="auto" w:sz="4" w:space="0"/>
              <w:bottom w:val="single" w:color="auto" w:sz="4" w:space="0"/>
              <w:right w:val="single" w:color="auto" w:sz="4" w:space="0"/>
            </w:tcBorders>
          </w:tcPr>
          <w:p>
            <w:pPr>
              <w:pStyle w:val="76"/>
              <w:keepNext w:val="0"/>
              <w:keepLines w:val="0"/>
            </w:pPr>
            <w:r>
              <w:t>dB</w:t>
            </w: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1,2,3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28" o:spt="75" type="#_x0000_t75" style="height:15.05pt;width:30.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p>
        </w:tc>
        <w:tc>
          <w:tcPr>
            <w:tcW w:w="663" w:type="dxa"/>
            <w:tcBorders>
              <w:top w:val="single" w:color="auto" w:sz="4" w:space="0"/>
              <w:left w:val="single" w:color="auto" w:sz="4" w:space="0"/>
              <w:bottom w:val="single" w:color="auto" w:sz="4" w:space="0"/>
              <w:right w:val="single" w:color="auto" w:sz="4" w:space="0"/>
            </w:tcBorders>
          </w:tcPr>
          <w:p>
            <w:pPr>
              <w:pStyle w:val="76"/>
              <w:keepNext w:val="0"/>
              <w:keepLines w:val="0"/>
            </w:pPr>
            <w:r>
              <w:t>dB</w:t>
            </w: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1,2,3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cantSplit/>
          <w:jc w:val="center"/>
        </w:trPr>
        <w:tc>
          <w:tcPr>
            <w:tcW w:w="2121" w:type="dxa"/>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663" w:type="dxa"/>
            <w:tcBorders>
              <w:top w:val="single" w:color="auto" w:sz="4" w:space="0"/>
              <w:left w:val="single" w:color="auto" w:sz="4" w:space="0"/>
              <w:bottom w:val="single" w:color="auto" w:sz="4" w:space="0"/>
              <w:right w:val="single" w:color="auto" w:sz="4" w:space="0"/>
            </w:tcBorders>
          </w:tcPr>
          <w:p>
            <w:pPr>
              <w:pStyle w:val="76"/>
              <w:keepNext w:val="0"/>
              <w:keepLines w:val="0"/>
            </w:pPr>
            <w:r>
              <w:t>dBm/9.36 MHz</w:t>
            </w: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1,2</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-67.04</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8" w:type="dxa"/>
          <w:cantSplit/>
          <w:jc w:val="center"/>
        </w:trPr>
        <w:tc>
          <w:tcPr>
            <w:tcW w:w="2121" w:type="dxa"/>
            <w:gridSpan w:val="2"/>
            <w:tcBorders>
              <w:top w:val="nil"/>
              <w:left w:val="single" w:color="auto" w:sz="4" w:space="0"/>
              <w:bottom w:val="single" w:color="auto" w:sz="4" w:space="0"/>
              <w:right w:val="single" w:color="auto" w:sz="4" w:space="0"/>
            </w:tcBorders>
          </w:tcPr>
          <w:p>
            <w:pPr>
              <w:pStyle w:val="77"/>
              <w:keepNext w:val="0"/>
              <w:keepLines w:val="0"/>
            </w:pPr>
          </w:p>
        </w:tc>
        <w:tc>
          <w:tcPr>
            <w:tcW w:w="663" w:type="dxa"/>
            <w:tcBorders>
              <w:top w:val="single" w:color="auto" w:sz="4" w:space="0"/>
              <w:left w:val="single" w:color="auto" w:sz="4" w:space="0"/>
              <w:bottom w:val="single" w:color="auto" w:sz="4" w:space="0"/>
              <w:right w:val="single" w:color="auto" w:sz="4" w:space="0"/>
            </w:tcBorders>
          </w:tcPr>
          <w:p>
            <w:pPr>
              <w:pStyle w:val="76"/>
              <w:keepNext w:val="0"/>
              <w:keepLines w:val="0"/>
            </w:pPr>
            <w:r>
              <w:t>dBm/38.16 MHz</w:t>
            </w:r>
          </w:p>
        </w:tc>
        <w:tc>
          <w:tcPr>
            <w:tcW w:w="1724" w:type="dxa"/>
            <w:tcBorders>
              <w:top w:val="single" w:color="auto" w:sz="4" w:space="0"/>
              <w:left w:val="single" w:color="auto" w:sz="4" w:space="0"/>
              <w:bottom w:val="single" w:color="auto" w:sz="4" w:space="0"/>
              <w:right w:val="single" w:color="auto" w:sz="4" w:space="0"/>
            </w:tcBorders>
          </w:tcPr>
          <w:p>
            <w:pPr>
              <w:pStyle w:val="76"/>
              <w:keepNext w:val="0"/>
              <w:keepLines w:val="0"/>
            </w:pPr>
            <w:r>
              <w:t>Config 3</w:t>
            </w:r>
          </w:p>
        </w:tc>
        <w:tc>
          <w:tcPr>
            <w:tcW w:w="2123"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-56.15</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-63.96</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-60.93</w:t>
            </w:r>
          </w:p>
        </w:tc>
        <w:tc>
          <w:tcPr>
            <w:tcW w:w="795"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-63.96</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rPr>
                <w:rFonts w:cs="Arial"/>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21"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663"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4"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3"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3190" w:type="dxa"/>
            <w:gridSpan w:val="5"/>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21" w:type="dxa"/>
            <w:gridSpan w:val="13"/>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29"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5">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
      <w:pPr>
        <w:pStyle w:val="6"/>
        <w:keepNext w:val="0"/>
        <w:keepLines w:val="0"/>
        <w:rPr>
          <w:lang w:eastAsia="zh-CN"/>
        </w:rPr>
      </w:pPr>
      <w:r>
        <w:rPr>
          <w:lang w:eastAsia="zh-CN"/>
        </w:rPr>
        <w:t>A.6.6.9.2.2</w:t>
      </w:r>
      <w:r>
        <w:rPr>
          <w:lang w:eastAsia="zh-CN"/>
        </w:rPr>
        <w:tab/>
      </w:r>
      <w:r>
        <w:rPr>
          <w:lang w:eastAsia="zh-CN"/>
        </w:rPr>
        <w:t>Test Requirements</w:t>
      </w:r>
    </w:p>
    <w:p>
      <w:r>
        <w:t xml:space="preserve">During the period T2 and T3, the UE shall not perform reselection. </w:t>
      </w:r>
    </w:p>
    <w:p>
      <w:r>
        <w:t xml:space="preserve">At the start of T4 the UE is paged for connection setup. During the connection setup the UE is requested to transmit early measurement report for Cell 2. </w:t>
      </w:r>
    </w:p>
    <w:p>
      <w:r>
        <w:t>The UE shall NOT send early measurement report to the PCell in this test.</w:t>
      </w:r>
    </w:p>
    <w:p>
      <w:r>
        <w:t>The rate of correct events observed during repeated tests shall be at least 90%.</w:t>
      </w:r>
    </w:p>
    <w:p>
      <w:pPr>
        <w:pStyle w:val="5"/>
        <w:keepNext w:val="0"/>
        <w:keepLines w:val="0"/>
        <w:rPr>
          <w:lang w:eastAsia="zh-CN"/>
        </w:rPr>
      </w:pPr>
      <w:r>
        <w:rPr>
          <w:lang w:eastAsia="zh-CN"/>
        </w:rPr>
        <w:t>A.6.6.9.3</w:t>
      </w:r>
      <w:r>
        <w:rPr>
          <w:lang w:eastAsia="zh-CN"/>
        </w:rPr>
        <w:tab/>
      </w:r>
      <w:del w:id="9" w:author="Wu Yan (ZTE)" w:date="2025-02-05T09:44:56Z">
        <w:r>
          <w:rPr>
            <w:lang w:eastAsia="zh-CN"/>
          </w:rPr>
          <w:delText xml:space="preserve">Test case for </w:delText>
        </w:r>
      </w:del>
      <w:r>
        <w:rPr>
          <w:lang w:eastAsia="zh-CN"/>
        </w:rPr>
        <w:t>Idle mode fast CA/DC cell reselection measurement for FR1 without valid reporting</w:t>
      </w:r>
    </w:p>
    <w:p>
      <w:pPr>
        <w:pStyle w:val="6"/>
        <w:keepNext w:val="0"/>
        <w:keepLines w:val="0"/>
        <w:rPr>
          <w:lang w:eastAsia="zh-CN"/>
        </w:rPr>
      </w:pPr>
      <w:r>
        <w:rPr>
          <w:lang w:eastAsia="zh-CN"/>
        </w:rPr>
        <w:t>A.6.6.9.3.1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w:t>
      </w:r>
      <w:r>
        <w:t xml:space="preserve">. This test will partly verify the fast CA/DC measurement reporting requirements in clause 4.7 when  </w:t>
      </w:r>
      <w:r>
        <w:rPr>
          <w:i/>
          <w:iCs/>
        </w:rPr>
        <w:t>measReselectionValidityDuration-r18</w:t>
      </w:r>
      <w:r>
        <w:t xml:space="preserve"> is configured for the test case when there are no measurement results to report at RRC connection setup.</w:t>
      </w:r>
    </w:p>
    <w:p>
      <w:r>
        <w:t>In this test, there are two cells: NR Cell 1 as PCell in FR1 on NR RF channel 1 and NR Cell 2 as</w:t>
      </w:r>
      <w:r>
        <w:rPr>
          <w:rFonts w:hint="eastAsia"/>
          <w:lang w:eastAsia="ko-KR"/>
        </w:rPr>
        <w:t xml:space="preserve"> inter-frequency</w:t>
      </w:r>
      <w:r>
        <w:t xml:space="preserve"> neighbour cell in FR1 on NR RF channel 2.  The test parameters are given in tables A.6.6.9.3.1-1, A.6.6.9.3.1-2, A.6.6.9.3.1-3.</w:t>
      </w:r>
    </w:p>
    <w:p>
      <w:r>
        <w:t xml:space="preserve">The test consists of 4 successive time periods, with time duration of T1, T2, T3 and T4 respectively. </w:t>
      </w:r>
    </w:p>
    <w:p>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pPr>
        <w:rPr>
          <w:color w:val="000000" w:themeColor="text1"/>
          <w14:textFill>
            <w14:solidFill>
              <w14:schemeClr w14:val="tx1"/>
            </w14:solidFill>
          </w14:textFill>
        </w:rPr>
      </w:pPr>
      <w:r>
        <w:rPr>
          <w:color w:val="000000" w:themeColor="text1"/>
          <w14:textFill>
            <w14:solidFill>
              <w14:schemeClr w14:val="tx1"/>
            </w14:solidFill>
          </w14:textFill>
        </w:rPr>
        <w:t>During T2 and T3 the UE is in idle mode.</w:t>
      </w:r>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A.6.6.9.3.1-3.</w:t>
      </w:r>
      <w:r>
        <w:t xml:space="preserve"> The duration of T2 is set to fixed value according to the Table A.6.6.9.3.1-2.</w:t>
      </w:r>
    </w:p>
    <w:p>
      <w:pPr>
        <w:spacing w:after="120"/>
        <w:rPr>
          <w:i/>
          <w:iCs/>
        </w:rPr>
      </w:pPr>
      <w:r>
        <w:rPr>
          <w:color w:val="000000" w:themeColor="text1"/>
          <w14:textFill>
            <w14:solidFill>
              <w14:schemeClr w14:val="tx1"/>
            </w14:solidFill>
          </w14:textFill>
        </w:rPr>
        <w:t xml:space="preserve">At the beginning of T3, </w:t>
      </w:r>
      <w:r>
        <w:rPr>
          <w:iCs/>
        </w:rPr>
        <w:t xml:space="preserve">the </w:t>
      </w:r>
      <w:ins w:id="10" w:author="Wu Yan (ZTE)" w:date="2025-02-05T09:49:07Z">
        <w:r>
          <w:rPr>
            <w:rFonts w:hint="eastAsia"/>
            <w:iCs/>
            <w:lang w:val="en-US" w:eastAsia="zh-CN"/>
          </w:rPr>
          <w:t>s</w:t>
        </w:r>
      </w:ins>
      <w:ins w:id="11" w:author="Wu Yan (ZTE)" w:date="2025-02-05T09:49:08Z">
        <w:r>
          <w:rPr>
            <w:rFonts w:hint="eastAsia"/>
            <w:iCs/>
            <w:lang w:val="en-US" w:eastAsia="zh-CN"/>
          </w:rPr>
          <w:t>ig</w:t>
        </w:r>
      </w:ins>
      <w:ins w:id="12" w:author="Wu Yan (ZTE)" w:date="2025-02-05T09:49:09Z">
        <w:r>
          <w:rPr>
            <w:rFonts w:hint="eastAsia"/>
            <w:iCs/>
            <w:lang w:val="en-US" w:eastAsia="zh-CN"/>
          </w:rPr>
          <w:t>nal</w:t>
        </w:r>
      </w:ins>
      <w:del w:id="13" w:author="Wu Yan (ZTE)" w:date="2025-02-05T09:49:05Z">
        <w:r>
          <w:rPr>
            <w:iCs/>
          </w:rPr>
          <w:delText>singal</w:delText>
        </w:r>
      </w:del>
      <w:r>
        <w:rPr>
          <w:iCs/>
        </w:rPr>
        <w:t xml:space="preserve"> level of Cell 2 is set to turned off.</w:t>
      </w:r>
      <w:r>
        <w:rPr>
          <w:i/>
        </w:rPr>
        <w:t xml:space="preserve"> </w:t>
      </w:r>
      <w:r>
        <w:rPr>
          <w:color w:val="000000" w:themeColor="text1"/>
          <w14:textFill>
            <w14:solidFill>
              <w14:schemeClr w14:val="tx1"/>
            </w14:solidFill>
          </w14:textFill>
        </w:rPr>
        <w:t xml:space="preserve">The duration of the T3 equals to </w:t>
      </w:r>
      <w:r>
        <w:rPr>
          <w:i/>
          <w:iCs/>
        </w:rPr>
        <w:t>measReselectionValidityDuration-r18.</w:t>
      </w:r>
    </w:p>
    <w:p>
      <w:pPr>
        <w:spacing w:after="120"/>
        <w:rPr>
          <w:iCs/>
          <w:color w:val="000000" w:themeColor="text1"/>
          <w14:textFill>
            <w14:solidFill>
              <w14:schemeClr w14:val="tx1"/>
            </w14:solidFill>
          </w14:textFill>
        </w:rPr>
      </w:pPr>
      <w:r>
        <w:rPr>
          <w:iCs/>
        </w:rPr>
        <w:t>The time when TE sends the paging message defined as the starting point of T4. During T4, in this test the UE shall not send measurement report.</w:t>
      </w:r>
    </w:p>
    <w:p>
      <w:pPr>
        <w:pStyle w:val="79"/>
        <w:keepNext w:val="0"/>
        <w:keepLines w:val="0"/>
      </w:pPr>
      <w:r>
        <w:t>Table A.6.6.9.3.1-1: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A.6.6.9.3.1-2: General test parameters for Idle mode fast CA/DC cell-reselection measurement for FR1 </w:t>
      </w:r>
    </w:p>
    <w:tbl>
      <w:tblPr>
        <w:tblStyle w:val="59"/>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9"/>
        <w:gridCol w:w="595"/>
        <w:gridCol w:w="1251"/>
        <w:gridCol w:w="2504"/>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5"/>
              <w:keepNext w:val="0"/>
              <w:keepLines w:val="0"/>
            </w:pPr>
            <w:r>
              <w:t>Parameter</w:t>
            </w:r>
          </w:p>
        </w:tc>
        <w:tc>
          <w:tcPr>
            <w:tcW w:w="595" w:type="dxa"/>
            <w:tcBorders>
              <w:top w:val="single" w:color="auto" w:sz="4" w:space="0"/>
              <w:left w:val="single" w:color="auto" w:sz="4" w:space="0"/>
              <w:bottom w:val="nil"/>
              <w:right w:val="single" w:color="auto" w:sz="4" w:space="0"/>
            </w:tcBorders>
          </w:tcPr>
          <w:p>
            <w:pPr>
              <w:pStyle w:val="75"/>
              <w:keepNext w:val="0"/>
              <w:keepLines w:val="0"/>
            </w:pPr>
            <w:r>
              <w:t>Unit</w:t>
            </w:r>
          </w:p>
        </w:tc>
        <w:tc>
          <w:tcPr>
            <w:tcW w:w="1251" w:type="dxa"/>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2504" w:type="dxa"/>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3071" w:type="dxa"/>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5"/>
              <w:keepNext w:val="0"/>
              <w:keepLines w:val="0"/>
            </w:pPr>
          </w:p>
        </w:tc>
        <w:tc>
          <w:tcPr>
            <w:tcW w:w="595" w:type="dxa"/>
            <w:tcBorders>
              <w:top w:val="nil"/>
              <w:left w:val="single" w:color="auto" w:sz="4" w:space="0"/>
              <w:bottom w:val="single" w:color="auto" w:sz="4" w:space="0"/>
              <w:right w:val="single" w:color="auto" w:sz="4" w:space="0"/>
            </w:tcBorders>
          </w:tcPr>
          <w:p>
            <w:pPr>
              <w:pStyle w:val="75"/>
              <w:keepNext w:val="0"/>
              <w:keepLines w:val="0"/>
            </w:pPr>
          </w:p>
        </w:tc>
        <w:tc>
          <w:tcPr>
            <w:tcW w:w="1251" w:type="dxa"/>
            <w:tcBorders>
              <w:top w:val="nil"/>
              <w:left w:val="single" w:color="auto" w:sz="4" w:space="0"/>
              <w:bottom w:val="single" w:color="auto" w:sz="4" w:space="0"/>
              <w:right w:val="single" w:color="auto" w:sz="4" w:space="0"/>
            </w:tcBorders>
          </w:tcPr>
          <w:p>
            <w:pPr>
              <w:pStyle w:val="75"/>
              <w:keepNext w:val="0"/>
              <w:keepLines w:val="0"/>
            </w:pPr>
          </w:p>
        </w:tc>
        <w:tc>
          <w:tcPr>
            <w:tcW w:w="2504" w:type="dxa"/>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3071" w:type="dxa"/>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1 (PCell)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NR Cell 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nil"/>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SSB.1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SSB.2 FR1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dB</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102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Normal</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OFF</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0.32</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 ms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nil"/>
              <w:left w:val="single" w:color="auto" w:sz="4" w:space="0"/>
              <w:bottom w:val="single" w:color="auto" w:sz="4" w:space="0"/>
              <w:right w:val="single" w:color="auto" w:sz="4" w:space="0"/>
            </w:tcBorders>
          </w:tcPr>
          <w:p>
            <w:pPr>
              <w:pStyle w:val="77"/>
              <w:keepNext w:val="0"/>
              <w:keepLines w:val="0"/>
            </w:pP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w:t>
            </w:r>
            <w:r>
              <w:rPr>
                <w:rFonts w:cs="Arial"/>
                <w:szCs w:val="18"/>
              </w:rPr>
              <w:sym w:font="Symbol" w:char="F06D"/>
            </w:r>
            <w:r>
              <w:rPr>
                <w:rFonts w:cs="Arial"/>
                <w:szCs w:val="18"/>
              </w:rPr>
              <w:t>s</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hint="eastAsia" w:cs="Arial"/>
                <w:szCs w:val="18"/>
                <w:lang w:eastAsia="ko-KR"/>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30</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5</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119" w:type="dxa"/>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595" w:type="dxa"/>
            <w:tcBorders>
              <w:top w:val="single" w:color="auto" w:sz="4" w:space="0"/>
              <w:left w:val="single" w:color="auto" w:sz="4" w:space="0"/>
              <w:bottom w:val="single" w:color="auto" w:sz="4" w:space="0"/>
              <w:right w:val="single" w:color="auto" w:sz="4" w:space="0"/>
            </w:tcBorders>
          </w:tcPr>
          <w:p>
            <w:pPr>
              <w:pStyle w:val="76"/>
              <w:keepNext w:val="0"/>
              <w:keepLines w:val="0"/>
            </w:pPr>
            <w:r>
              <w:t>s</w:t>
            </w:r>
          </w:p>
        </w:tc>
        <w:tc>
          <w:tcPr>
            <w:tcW w:w="1251"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Config 1,2,3</w:t>
            </w:r>
          </w:p>
        </w:tc>
        <w:tc>
          <w:tcPr>
            <w:tcW w:w="2504"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szCs w:val="18"/>
              </w:rPr>
            </w:pPr>
            <w:r>
              <w:rPr>
                <w:rFonts w:cs="Arial"/>
                <w:szCs w:val="18"/>
              </w:rPr>
              <w:t>1</w:t>
            </w:r>
          </w:p>
        </w:tc>
        <w:tc>
          <w:tcPr>
            <w:tcW w:w="3071" w:type="dxa"/>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A.6.6.9.3.1-3: Cell specific test parameters for Idle and connected mode for fast CA/DC cell re-selection measurement for FR1</w:t>
      </w:r>
    </w:p>
    <w:tbl>
      <w:tblPr>
        <w:tblStyle w:val="59"/>
        <w:tblW w:w="9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77"/>
        <w:gridCol w:w="963"/>
        <w:gridCol w:w="852"/>
        <w:gridCol w:w="1729"/>
        <w:gridCol w:w="531"/>
        <w:gridCol w:w="531"/>
        <w:gridCol w:w="531"/>
        <w:gridCol w:w="535"/>
        <w:gridCol w:w="796"/>
        <w:gridCol w:w="797"/>
        <w:gridCol w:w="796"/>
        <w:gridCol w:w="8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1940" w:type="dxa"/>
            <w:gridSpan w:val="2"/>
            <w:tcBorders>
              <w:top w:val="single" w:color="auto" w:sz="4" w:space="0"/>
              <w:left w:val="single" w:color="auto" w:sz="4" w:space="0"/>
              <w:bottom w:val="nil"/>
              <w:right w:val="single" w:color="auto" w:sz="4" w:space="0"/>
            </w:tcBorders>
          </w:tcPr>
          <w:p>
            <w:pPr>
              <w:pStyle w:val="75"/>
              <w:keepLines w:val="0"/>
            </w:pPr>
            <w:r>
              <w:t>Parameter</w:t>
            </w:r>
          </w:p>
        </w:tc>
        <w:tc>
          <w:tcPr>
            <w:tcW w:w="852" w:type="dxa"/>
            <w:tcBorders>
              <w:top w:val="single" w:color="auto" w:sz="4" w:space="0"/>
              <w:left w:val="single" w:color="auto" w:sz="4" w:space="0"/>
              <w:bottom w:val="nil"/>
              <w:right w:val="single" w:color="auto" w:sz="4" w:space="0"/>
            </w:tcBorders>
          </w:tcPr>
          <w:p>
            <w:pPr>
              <w:pStyle w:val="75"/>
              <w:keepLines w:val="0"/>
            </w:pPr>
            <w:r>
              <w:t>Unit</w:t>
            </w:r>
          </w:p>
        </w:tc>
        <w:tc>
          <w:tcPr>
            <w:tcW w:w="1729" w:type="dxa"/>
            <w:tcBorders>
              <w:top w:val="single" w:color="auto" w:sz="4" w:space="0"/>
              <w:left w:val="single" w:color="auto" w:sz="4" w:space="0"/>
              <w:bottom w:val="nil"/>
              <w:right w:val="single" w:color="auto" w:sz="4" w:space="0"/>
            </w:tcBorders>
          </w:tcPr>
          <w:p>
            <w:pPr>
              <w:pStyle w:val="75"/>
              <w:keepLines w:val="0"/>
            </w:pPr>
            <w:r>
              <w:t>Test configuration</w:t>
            </w:r>
          </w:p>
        </w:tc>
        <w:tc>
          <w:tcPr>
            <w:tcW w:w="2128" w:type="dxa"/>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3194" w:type="dxa"/>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940" w:type="dxa"/>
            <w:gridSpan w:val="2"/>
            <w:tcBorders>
              <w:top w:val="nil"/>
              <w:left w:val="single" w:color="auto" w:sz="4" w:space="0"/>
              <w:bottom w:val="single" w:color="auto" w:sz="4" w:space="0"/>
              <w:right w:val="single" w:color="auto" w:sz="4" w:space="0"/>
            </w:tcBorders>
          </w:tcPr>
          <w:p>
            <w:pPr>
              <w:pStyle w:val="75"/>
              <w:keepNext w:val="0"/>
              <w:keepLines w:val="0"/>
            </w:pPr>
          </w:p>
        </w:tc>
        <w:tc>
          <w:tcPr>
            <w:tcW w:w="852" w:type="dxa"/>
            <w:tcBorders>
              <w:top w:val="nil"/>
              <w:left w:val="single" w:color="auto" w:sz="4" w:space="0"/>
              <w:bottom w:val="single" w:color="auto" w:sz="4" w:space="0"/>
              <w:right w:val="single" w:color="auto" w:sz="4" w:space="0"/>
            </w:tcBorders>
          </w:tcPr>
          <w:p>
            <w:pPr>
              <w:pStyle w:val="75"/>
              <w:keepNext w:val="0"/>
              <w:keepLines w:val="0"/>
            </w:pPr>
          </w:p>
        </w:tc>
        <w:tc>
          <w:tcPr>
            <w:tcW w:w="1729" w:type="dxa"/>
            <w:tcBorders>
              <w:top w:val="nil"/>
              <w:left w:val="single" w:color="auto" w:sz="4" w:space="0"/>
              <w:bottom w:val="single" w:color="auto" w:sz="4" w:space="0"/>
              <w:right w:val="single" w:color="auto" w:sz="4" w:space="0"/>
            </w:tcBorders>
          </w:tcPr>
          <w:p>
            <w:pPr>
              <w:pStyle w:val="75"/>
              <w:keepNext w:val="0"/>
              <w:keepLines w:val="0"/>
            </w:pP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531"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53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T1</w:t>
            </w:r>
          </w:p>
        </w:tc>
        <w:tc>
          <w:tcPr>
            <w:tcW w:w="797" w:type="dxa"/>
            <w:tcBorders>
              <w:top w:val="single" w:color="auto" w:sz="4" w:space="0"/>
              <w:left w:val="single" w:color="auto" w:sz="4" w:space="0"/>
              <w:bottom w:val="single" w:color="auto" w:sz="4" w:space="0"/>
              <w:right w:val="single" w:color="auto" w:sz="4" w:space="0"/>
            </w:tcBorders>
          </w:tcPr>
          <w:p>
            <w:pPr>
              <w:pStyle w:val="75"/>
              <w:keepNext w:val="0"/>
              <w:keepLines w:val="0"/>
            </w:pPr>
            <w:r>
              <w:t>T2</w:t>
            </w:r>
          </w:p>
        </w:tc>
        <w:tc>
          <w:tcPr>
            <w:tcW w:w="796" w:type="dxa"/>
            <w:tcBorders>
              <w:top w:val="single" w:color="auto" w:sz="4" w:space="0"/>
              <w:left w:val="single" w:color="auto" w:sz="4" w:space="0"/>
              <w:bottom w:val="single" w:color="auto" w:sz="4" w:space="0"/>
              <w:right w:val="single" w:color="auto" w:sz="4" w:space="0"/>
            </w:tcBorders>
          </w:tcPr>
          <w:p>
            <w:pPr>
              <w:pStyle w:val="75"/>
              <w:keepNext w:val="0"/>
              <w:keepLines w:val="0"/>
            </w:pPr>
            <w:r>
              <w:t>T3</w:t>
            </w:r>
          </w:p>
        </w:tc>
        <w:tc>
          <w:tcPr>
            <w:tcW w:w="805" w:type="dxa"/>
            <w:tcBorders>
              <w:top w:val="single" w:color="auto" w:sz="4" w:space="0"/>
              <w:left w:val="single" w:color="auto" w:sz="4" w:space="0"/>
              <w:bottom w:val="single" w:color="auto" w:sz="4" w:space="0"/>
              <w:right w:val="single" w:color="auto" w:sz="4" w:space="0"/>
            </w:tcBorders>
          </w:tcPr>
          <w:p>
            <w:pPr>
              <w:pStyle w:val="75"/>
              <w:keepNext w:val="0"/>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852" w:type="dxa"/>
            <w:tcBorders>
              <w:top w:val="single" w:color="auto" w:sz="4" w:space="0"/>
              <w:left w:val="single" w:color="auto" w:sz="4" w:space="0"/>
              <w:bottom w:val="nil"/>
              <w:right w:val="single" w:color="auto" w:sz="4" w:space="0"/>
            </w:tcBorders>
          </w:tcPr>
          <w:p>
            <w:pPr>
              <w:pStyle w:val="77"/>
              <w:keepNext w:val="0"/>
              <w:keepLines w:val="0"/>
            </w:pPr>
            <w:r>
              <w:t>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nil"/>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77" w:type="dxa"/>
            <w:tcBorders>
              <w:top w:val="nil"/>
              <w:left w:val="single" w:color="auto" w:sz="4" w:space="0"/>
              <w:bottom w:val="single" w:color="auto" w:sz="4" w:space="0"/>
              <w:right w:val="single" w:color="auto" w:sz="4" w:space="0"/>
            </w:tcBorders>
          </w:tcPr>
          <w:p>
            <w:pPr>
              <w:pStyle w:val="77"/>
              <w:keepNext w:val="0"/>
              <w:keepLines w:val="0"/>
            </w:pPr>
          </w:p>
        </w:tc>
        <w:tc>
          <w:tcPr>
            <w:tcW w:w="963" w:type="dxa"/>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852" w:type="dxa"/>
            <w:tcBorders>
              <w:top w:val="single" w:color="auto" w:sz="4" w:space="0"/>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nil"/>
              <w:left w:val="single" w:color="auto" w:sz="4" w:space="0"/>
              <w:bottom w:val="nil"/>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nil"/>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852" w:type="dxa"/>
            <w:tcBorders>
              <w:top w:val="single" w:color="auto" w:sz="4" w:space="0"/>
              <w:left w:val="single" w:color="auto" w:sz="4" w:space="0"/>
              <w:bottom w:val="nil"/>
              <w:right w:val="single" w:color="auto" w:sz="4" w:space="0"/>
            </w:tcBorders>
          </w:tcPr>
          <w:p>
            <w:pPr>
              <w:pStyle w:val="77"/>
              <w:keepNext w:val="0"/>
              <w:keepLines w:val="0"/>
            </w:pPr>
            <w:r>
              <w:t>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5322" w:type="dxa"/>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nil"/>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3194" w:type="dxa"/>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nil"/>
              <w:right w:val="single" w:color="auto" w:sz="4" w:space="0"/>
            </w:tcBorders>
          </w:tcPr>
          <w:p>
            <w:pPr>
              <w:pStyle w:val="77"/>
              <w:keepNext w:val="0"/>
              <w:keepLines w:val="0"/>
            </w:pPr>
          </w:p>
        </w:tc>
        <w:tc>
          <w:tcPr>
            <w:tcW w:w="2128" w:type="dxa"/>
            <w:gridSpan w:val="4"/>
            <w:tcBorders>
              <w:top w:val="nil"/>
              <w:left w:val="single" w:color="auto" w:sz="4" w:space="0"/>
              <w:bottom w:val="nil"/>
              <w:right w:val="single" w:color="auto" w:sz="4" w:space="0"/>
            </w:tcBorders>
          </w:tcPr>
          <w:p>
            <w:pPr>
              <w:pStyle w:val="76"/>
              <w:keepNext w:val="0"/>
              <w:keepLines w:val="0"/>
            </w:pPr>
          </w:p>
        </w:tc>
        <w:tc>
          <w:tcPr>
            <w:tcW w:w="3194" w:type="dxa"/>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nil"/>
              <w:left w:val="single" w:color="auto" w:sz="4" w:space="0"/>
              <w:bottom w:val="single" w:color="auto" w:sz="4" w:space="0"/>
              <w:right w:val="single" w:color="auto" w:sz="4" w:space="0"/>
            </w:tcBorders>
          </w:tcPr>
          <w:p>
            <w:pPr>
              <w:pStyle w:val="77"/>
              <w:keepNext w:val="0"/>
              <w:keepLines w:val="0"/>
            </w:pPr>
          </w:p>
        </w:tc>
        <w:tc>
          <w:tcPr>
            <w:tcW w:w="2128" w:type="dxa"/>
            <w:gridSpan w:val="4"/>
            <w:tcBorders>
              <w:top w:val="nil"/>
              <w:left w:val="single" w:color="auto" w:sz="4" w:space="0"/>
              <w:bottom w:val="single" w:color="auto" w:sz="4" w:space="0"/>
              <w:right w:val="single" w:color="auto" w:sz="4" w:space="0"/>
            </w:tcBorders>
          </w:tcPr>
          <w:p>
            <w:pPr>
              <w:pStyle w:val="76"/>
              <w:keepNext w:val="0"/>
              <w:keepLines w:val="0"/>
            </w:pPr>
          </w:p>
        </w:tc>
        <w:tc>
          <w:tcPr>
            <w:tcW w:w="3194" w:type="dxa"/>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0"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6">
                  <o:LockedField>false</o:LockedField>
                </o:OLEObject>
              </w:object>
            </w:r>
            <w:r>
              <w:t>Note2</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object>
                <v:shape id="_x0000_i1031"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1" DrawAspect="Content" ObjectID="_1468075731" r:id="rId17">
                  <o:LockedField>false</o:LockedField>
                </o:OLEObject>
              </w:object>
            </w:r>
            <w:r>
              <w:t>Note2</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3194"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852" w:type="dxa"/>
            <w:tcBorders>
              <w:top w:val="single" w:color="auto" w:sz="4" w:space="0"/>
              <w:left w:val="single" w:color="auto" w:sz="4" w:space="0"/>
              <w:bottom w:val="nil"/>
              <w:right w:val="single" w:color="auto" w:sz="4" w:space="0"/>
            </w:tcBorders>
          </w:tcPr>
          <w:p>
            <w:pPr>
              <w:pStyle w:val="77"/>
              <w:keepNext w:val="0"/>
              <w:keepLines w:val="0"/>
            </w:pPr>
            <w:r>
              <w:t>dBm/SCS</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nil"/>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2" o:spt="75" type="#_x0000_t75" style="height:15.05pt;width:19.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8">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3" o:spt="75" type="#_x0000_t75" style="height:15.05pt;width:30.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3" DrawAspect="Content" ObjectID="_1468075733" r:id="rId19">
                  <o:LockedField>false</o:LockedField>
                </o:OLEObject>
              </w:objec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0</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128" w:type="dxa"/>
            <w:gridSpan w:val="4"/>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797" w:type="dxa"/>
            <w:tcBorders>
              <w:top w:val="single" w:color="auto" w:sz="4" w:space="0"/>
              <w:left w:val="single" w:color="auto" w:sz="4" w:space="0"/>
              <w:bottom w:val="single" w:color="auto" w:sz="4" w:space="0"/>
              <w:right w:val="single" w:color="auto" w:sz="4" w:space="0"/>
            </w:tcBorders>
          </w:tcPr>
          <w:p>
            <w:pPr>
              <w:pStyle w:val="76"/>
              <w:keepNext w:val="0"/>
              <w:keepLines w:val="0"/>
            </w:pPr>
            <w:r>
              <w:t>-67.04</w:t>
            </w:r>
          </w:p>
        </w:tc>
        <w:tc>
          <w:tcPr>
            <w:tcW w:w="796"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c>
          <w:tcPr>
            <w:tcW w:w="805" w:type="dxa"/>
            <w:tcBorders>
              <w:top w:val="single" w:color="auto" w:sz="4" w:space="0"/>
              <w:left w:val="single" w:color="auto" w:sz="4" w:space="0"/>
              <w:bottom w:val="single" w:color="auto" w:sz="4" w:space="0"/>
              <w:right w:val="single" w:color="auto" w:sz="4" w:space="0"/>
            </w:tcBorders>
          </w:tcPr>
          <w:p>
            <w:pPr>
              <w:pStyle w:val="76"/>
              <w:keepNext w:val="0"/>
              <w:keepLines w:val="0"/>
            </w:pPr>
            <w:r>
              <w:t>-70.05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nil"/>
              <w:left w:val="single" w:color="auto" w:sz="4" w:space="0"/>
              <w:bottom w:val="single" w:color="auto" w:sz="4" w:space="0"/>
              <w:right w:val="single" w:color="auto" w:sz="4" w:space="0"/>
            </w:tcBorders>
          </w:tcPr>
          <w:p>
            <w:pPr>
              <w:pStyle w:val="77"/>
              <w:keepNext w:val="0"/>
              <w:keepLines w:val="0"/>
            </w:pP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-56.15</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797"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-60.93</w:t>
            </w:r>
          </w:p>
        </w:tc>
        <w:tc>
          <w:tcPr>
            <w:tcW w:w="796"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c>
          <w:tcPr>
            <w:tcW w:w="805" w:type="dxa"/>
            <w:tcBorders>
              <w:top w:val="single" w:color="auto" w:sz="4" w:space="0"/>
              <w:left w:val="single" w:color="auto" w:sz="4" w:space="0"/>
              <w:bottom w:val="single" w:color="auto" w:sz="4" w:space="0"/>
              <w:right w:val="single" w:color="auto" w:sz="4" w:space="0"/>
            </w:tcBorders>
          </w:tcPr>
          <w:p>
            <w:pPr>
              <w:pStyle w:val="77"/>
              <w:keepNext w:val="0"/>
              <w:keepLines w:val="0"/>
              <w:jc w:val="center"/>
            </w:pPr>
            <w:r>
              <w:rPr>
                <w:rFonts w:cs="Arial"/>
                <w:szCs w:val="18"/>
              </w:rPr>
              <w:t>-63.96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940" w:type="dxa"/>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852" w:type="dxa"/>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729" w:type="dxa"/>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2128"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3194" w:type="dxa"/>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843" w:type="dxa"/>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4"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4" DrawAspect="Content" ObjectID="_1468075734" r:id="rId20">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Pr>
        <w:rPr>
          <w:lang w:eastAsia="zh-CN"/>
        </w:rPr>
      </w:pPr>
    </w:p>
    <w:p>
      <w:pPr>
        <w:pStyle w:val="6"/>
        <w:keepNext w:val="0"/>
        <w:keepLines w:val="0"/>
        <w:rPr>
          <w:lang w:eastAsia="zh-CN"/>
        </w:rPr>
      </w:pPr>
      <w:r>
        <w:rPr>
          <w:lang w:eastAsia="zh-CN"/>
        </w:rPr>
        <w:t>A.6.6.9.3.2</w:t>
      </w:r>
      <w:r>
        <w:rPr>
          <w:lang w:eastAsia="zh-CN"/>
        </w:rPr>
        <w:tab/>
      </w:r>
      <w:r>
        <w:rPr>
          <w:lang w:eastAsia="zh-CN"/>
        </w:rPr>
        <w:t>Test Requirements</w:t>
      </w:r>
    </w:p>
    <w:p>
      <w:r>
        <w:t xml:space="preserve">During the period T2, the UE shall not perform reselection. </w:t>
      </w:r>
    </w:p>
    <w:p>
      <w:r>
        <w:t xml:space="preserve">At the start of T4 the UE is paged for connection setup. During the connection setup the UE is requested to transmit early measurement report for Cell 2. </w:t>
      </w:r>
    </w:p>
    <w:p>
      <w:r>
        <w:t>The UE shall NOT send early measurement report to the PCell in this test.</w:t>
      </w:r>
    </w:p>
    <w:p>
      <w:r>
        <w:t>The rate of correct events observed during repeated tests shall be at least 90%.</w:t>
      </w:r>
    </w:p>
    <w:p>
      <w:pPr>
        <w:pStyle w:val="5"/>
        <w:keepNext w:val="0"/>
        <w:keepLines w:val="0"/>
        <w:rPr>
          <w:lang w:eastAsia="zh-CN"/>
        </w:rPr>
      </w:pPr>
      <w:r>
        <w:rPr>
          <w:lang w:eastAsia="zh-CN"/>
        </w:rPr>
        <w:t>A.6.6.9.4</w:t>
      </w:r>
      <w:r>
        <w:rPr>
          <w:lang w:eastAsia="zh-CN"/>
        </w:rPr>
        <w:tab/>
      </w:r>
      <w:del w:id="14" w:author="Wu Yan (ZTE)" w:date="2025-02-05T09:45:32Z">
        <w:r>
          <w:rPr>
            <w:lang w:eastAsia="zh-CN"/>
          </w:rPr>
          <w:delText xml:space="preserve">Test case for </w:delText>
        </w:r>
      </w:del>
      <w:r>
        <w:rPr>
          <w:lang w:eastAsia="zh-CN"/>
        </w:rPr>
        <w:t>Idle mode fast CA/DC cell reselection measurement for FR1 with valid reporting</w:t>
      </w:r>
    </w:p>
    <w:p>
      <w:pPr>
        <w:pStyle w:val="6"/>
        <w:keepNext w:val="0"/>
        <w:keepLines w:val="0"/>
        <w:rPr>
          <w:lang w:eastAsia="zh-CN"/>
        </w:rPr>
      </w:pPr>
      <w:r>
        <w:rPr>
          <w:lang w:eastAsia="zh-CN"/>
        </w:rPr>
        <w:t>A.6.6.9.4.1</w:t>
      </w:r>
      <w:r>
        <w:rPr>
          <w:lang w:eastAsia="zh-CN"/>
        </w:rPr>
        <w:tab/>
      </w:r>
      <w:r>
        <w:rPr>
          <w:lang w:eastAsia="zh-CN"/>
        </w:rPr>
        <w:t>Test Purpose and Environment</w:t>
      </w:r>
    </w:p>
    <w:p>
      <w:r>
        <w:t>The purpose of this test is to verify UE measurement reporting behaviour as specified in clause 4.7 when the UE supports</w:t>
      </w:r>
      <w:r>
        <w:rPr>
          <w:i/>
        </w:rPr>
        <w:t xml:space="preserve"> measValidationReportReselectionMeasurements-r18 </w:t>
      </w:r>
      <w:r>
        <w:t xml:space="preserve">. This test will partly verify the m fast CA/DC measurement reporting requirements in clause 4.7 when </w:t>
      </w:r>
      <w:r>
        <w:rPr>
          <w:i/>
          <w:iCs/>
        </w:rPr>
        <w:t>measReselectionValidityDuration-r18</w:t>
      </w:r>
      <w:r>
        <w:t xml:space="preserve"> is configured for the test case when there are measurement results to report at RRC connection setup.</w:t>
      </w:r>
    </w:p>
    <w:p>
      <w:r>
        <w:t>In this test, there are two cells: NR Cell 1 as PCell in FR1 on NR RF channel 1 and NR Cell 2 as neighbour cell in FR1 on NR RF channel 2.  The test parameters are given in tables A.6.6.9.4.1-1, A.6.6.9.4.1-2, A.6.6.9.4.1-3.</w:t>
      </w:r>
    </w:p>
    <w:p>
      <w:r>
        <w:t xml:space="preserve">The test consists of 4 successive time periods, with time duration of T1, T2, T3 and T4 respectively. </w:t>
      </w:r>
    </w:p>
    <w:p>
      <w:r>
        <w:t xml:space="preserve">During T1, the UE is connected to Cell 1 only and shall not have any timing information of Cell 2. UE is configured with inter-frequency measurement reporting for Cell 2 in </w:t>
      </w:r>
      <w:r>
        <w:rPr>
          <w:rFonts w:cs="v4.2.0"/>
          <w:i/>
          <w:iCs/>
        </w:rPr>
        <w:t>MeasReselectionCarrierListNR-r18</w:t>
      </w:r>
      <w:r>
        <w:t>. Beam level reporting for early measurements is not configured. The time point when UE receives RRC_Release message from the TE defines the starting point of T2.</w:t>
      </w:r>
    </w:p>
    <w:p>
      <w:r>
        <w:rPr>
          <w:color w:val="000000" w:themeColor="text1"/>
          <w14:textFill>
            <w14:solidFill>
              <w14:schemeClr w14:val="tx1"/>
            </w14:solidFill>
          </w14:textFill>
        </w:rPr>
        <w:t>At the beginning of T2, Cell 2 becomes detectable however cell reselection shall not be performed. Signal level of Cell 2 is set to the value given in table A.6.6.9.4.1-3.</w:t>
      </w:r>
      <w:r>
        <w:t xml:space="preserve"> The duration of T2 is set to fixed value according to the Table A.6.6.9.4.1-2.</w:t>
      </w:r>
    </w:p>
    <w:p>
      <w:pPr>
        <w:spacing w:after="120"/>
        <w:rPr>
          <w:i/>
          <w:iCs/>
        </w:rPr>
      </w:pPr>
      <w:r>
        <w:rPr>
          <w:iCs/>
        </w:rPr>
        <w:t xml:space="preserve">At the beginning of T3, the signal level of Cell 2 is set to another value </w:t>
      </w:r>
      <w:r>
        <w:t>according to the Table A.6.6.9.4.1-3</w:t>
      </w:r>
      <w:r>
        <w:rPr>
          <w:iCs/>
        </w:rPr>
        <w:t>.</w:t>
      </w:r>
      <w:r>
        <w:rPr>
          <w:i/>
        </w:rPr>
        <w:t xml:space="preserve"> </w:t>
      </w:r>
      <w:r>
        <w:rPr>
          <w:color w:val="000000" w:themeColor="text1"/>
          <w14:textFill>
            <w14:solidFill>
              <w14:schemeClr w14:val="tx1"/>
            </w14:solidFill>
          </w14:textFill>
        </w:rPr>
        <w:t xml:space="preserve">The duration of T3 equals to </w:t>
      </w:r>
      <w:r>
        <w:rPr>
          <w:i/>
          <w:iCs/>
        </w:rPr>
        <w:t>measReselectionValidityDuration-r18 .</w:t>
      </w:r>
    </w:p>
    <w:p>
      <w:pPr>
        <w:spacing w:after="120"/>
        <w:rPr>
          <w:iCs/>
        </w:rPr>
      </w:pPr>
      <w:r>
        <w:rPr>
          <w:iCs/>
        </w:rPr>
        <w:t>The time when TE sends the paging message is defined as the starting point of T4. During T4, in this test the UE shall send measurement report within the duration of T4.</w:t>
      </w:r>
    </w:p>
    <w:p>
      <w:pPr>
        <w:pStyle w:val="79"/>
        <w:keepNext w:val="0"/>
        <w:keepLines w:val="0"/>
      </w:pPr>
      <w:r>
        <w:t>Table A.6.6.9.4.1-1: supported test configuration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0"/>
        <w:gridCol w:w="7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5"/>
              <w:keepNext w:val="0"/>
              <w:keepLines w:val="0"/>
            </w:pPr>
            <w:r>
              <w:t>Config</w:t>
            </w:r>
          </w:p>
        </w:tc>
        <w:tc>
          <w:tcPr>
            <w:tcW w:w="7299" w:type="dxa"/>
            <w:tcBorders>
              <w:top w:val="single" w:color="auto" w:sz="4" w:space="0"/>
              <w:left w:val="single" w:color="auto" w:sz="4" w:space="0"/>
              <w:bottom w:val="single" w:color="auto" w:sz="4" w:space="0"/>
              <w:right w:val="single" w:color="auto" w:sz="4" w:space="0"/>
            </w:tcBorders>
          </w:tcPr>
          <w:p>
            <w:pPr>
              <w:pStyle w:val="75"/>
              <w:keepNext w:val="0"/>
              <w:keepLines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2</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15 kHz SSB SCS, 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pStyle w:val="77"/>
              <w:keepNext w:val="0"/>
              <w:keepLines w:val="0"/>
            </w:pPr>
            <w:r>
              <w:t>3</w:t>
            </w:r>
          </w:p>
        </w:tc>
        <w:tc>
          <w:tcPr>
            <w:tcW w:w="7299" w:type="dxa"/>
            <w:tcBorders>
              <w:top w:val="single" w:color="auto" w:sz="4" w:space="0"/>
              <w:left w:val="single" w:color="auto" w:sz="4" w:space="0"/>
              <w:bottom w:val="single" w:color="auto" w:sz="4" w:space="0"/>
              <w:right w:val="single" w:color="auto" w:sz="4" w:space="0"/>
            </w:tcBorders>
          </w:tcPr>
          <w:p>
            <w:pPr>
              <w:pStyle w:val="77"/>
              <w:keepNext w:val="0"/>
              <w:keepLines w:val="0"/>
            </w:pPr>
            <w:r>
              <w:t>NR 30 kHz SSB SCS, 40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The UE is only required to be tested in one of the supported test configurations</w:t>
            </w:r>
          </w:p>
          <w:p>
            <w:pPr>
              <w:pStyle w:val="90"/>
              <w:keepNext w:val="0"/>
              <w:keepLines w:val="0"/>
            </w:pPr>
            <w:r>
              <w:t>NOTE 2:</w:t>
            </w:r>
            <w:r>
              <w:tab/>
            </w:r>
            <w:r>
              <w:t>target NR cell has the same SCS, BW and duplex mode as NR serving cell</w:t>
            </w:r>
          </w:p>
        </w:tc>
      </w:tr>
    </w:tbl>
    <w:p/>
    <w:p>
      <w:pPr>
        <w:pStyle w:val="79"/>
        <w:keepNext w:val="0"/>
        <w:keepLines w:val="0"/>
      </w:pPr>
      <w:r>
        <w:t xml:space="preserve">Table A.6.6.9.4.1-2: General test parameters for Idle mode fast CA/DC cell-reselection measurement for FR1 </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8"/>
        <w:gridCol w:w="486"/>
        <w:gridCol w:w="1286"/>
        <w:gridCol w:w="2242"/>
        <w:gridCol w:w="2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single" w:color="auto" w:sz="4" w:space="0"/>
              <w:left w:val="single" w:color="auto" w:sz="4" w:space="0"/>
              <w:bottom w:val="nil"/>
              <w:right w:val="single" w:color="auto" w:sz="4" w:space="0"/>
            </w:tcBorders>
          </w:tcPr>
          <w:p>
            <w:pPr>
              <w:pStyle w:val="75"/>
              <w:keepNext w:val="0"/>
              <w:keepLines w:val="0"/>
            </w:pPr>
            <w:r>
              <w:t>Parameter</w:t>
            </w:r>
          </w:p>
        </w:tc>
        <w:tc>
          <w:tcPr>
            <w:tcW w:w="312" w:type="pct"/>
            <w:tcBorders>
              <w:top w:val="single" w:color="auto" w:sz="4" w:space="0"/>
              <w:left w:val="single" w:color="auto" w:sz="4" w:space="0"/>
              <w:bottom w:val="nil"/>
              <w:right w:val="single" w:color="auto" w:sz="4" w:space="0"/>
            </w:tcBorders>
          </w:tcPr>
          <w:p>
            <w:pPr>
              <w:pStyle w:val="75"/>
              <w:keepNext w:val="0"/>
              <w:keepLines w:val="0"/>
            </w:pPr>
            <w:r>
              <w:t>Unit</w:t>
            </w:r>
          </w:p>
        </w:tc>
        <w:tc>
          <w:tcPr>
            <w:tcW w:w="656" w:type="pct"/>
            <w:tcBorders>
              <w:top w:val="single" w:color="auto" w:sz="4" w:space="0"/>
              <w:left w:val="single" w:color="auto" w:sz="4" w:space="0"/>
              <w:bottom w:val="nil"/>
              <w:right w:val="single" w:color="auto" w:sz="4" w:space="0"/>
            </w:tcBorders>
          </w:tcPr>
          <w:p>
            <w:pPr>
              <w:pStyle w:val="75"/>
              <w:keepNext w:val="0"/>
              <w:keepLines w:val="0"/>
            </w:pPr>
            <w:r>
              <w:t>Test configuration</w:t>
            </w:r>
          </w:p>
        </w:tc>
        <w:tc>
          <w:tcPr>
            <w:tcW w:w="1312" w:type="pct"/>
            <w:vMerge w:val="restart"/>
            <w:tcBorders>
              <w:top w:val="single" w:color="auto" w:sz="4" w:space="0"/>
              <w:left w:val="single" w:color="auto" w:sz="4" w:space="0"/>
              <w:bottom w:val="single" w:color="auto" w:sz="4" w:space="0"/>
              <w:right w:val="single" w:color="auto" w:sz="4" w:space="0"/>
            </w:tcBorders>
          </w:tcPr>
          <w:p>
            <w:pPr>
              <w:pStyle w:val="75"/>
              <w:keepNext w:val="0"/>
              <w:keepLines w:val="0"/>
            </w:pPr>
            <w:r>
              <w:t>Value</w:t>
            </w:r>
          </w:p>
        </w:tc>
        <w:tc>
          <w:tcPr>
            <w:tcW w:w="1610" w:type="pct"/>
            <w:tcBorders>
              <w:top w:val="single" w:color="auto" w:sz="4" w:space="0"/>
              <w:left w:val="single" w:color="auto" w:sz="4" w:space="0"/>
              <w:bottom w:val="nil"/>
              <w:right w:val="single" w:color="auto" w:sz="4" w:space="0"/>
            </w:tcBorders>
          </w:tcPr>
          <w:p>
            <w:pPr>
              <w:pStyle w:val="75"/>
              <w:keepNext w:val="0"/>
              <w:keepLines w:val="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11" w:type="pct"/>
            <w:tcBorders>
              <w:top w:val="nil"/>
              <w:left w:val="single" w:color="auto" w:sz="4" w:space="0"/>
              <w:bottom w:val="single" w:color="auto" w:sz="4" w:space="0"/>
              <w:right w:val="single" w:color="auto" w:sz="4" w:space="0"/>
            </w:tcBorders>
          </w:tcPr>
          <w:p>
            <w:pPr>
              <w:pStyle w:val="75"/>
              <w:keepNext w:val="0"/>
              <w:keepLines w:val="0"/>
            </w:pPr>
          </w:p>
        </w:tc>
        <w:tc>
          <w:tcPr>
            <w:tcW w:w="312" w:type="pct"/>
            <w:tcBorders>
              <w:top w:val="nil"/>
              <w:left w:val="single" w:color="auto" w:sz="4" w:space="0"/>
              <w:bottom w:val="single" w:color="auto" w:sz="4" w:space="0"/>
              <w:right w:val="single" w:color="auto" w:sz="4" w:space="0"/>
            </w:tcBorders>
          </w:tcPr>
          <w:p>
            <w:pPr>
              <w:pStyle w:val="75"/>
              <w:keepNext w:val="0"/>
              <w:keepLines w:val="0"/>
            </w:pPr>
          </w:p>
        </w:tc>
        <w:tc>
          <w:tcPr>
            <w:tcW w:w="656" w:type="pct"/>
            <w:tcBorders>
              <w:top w:val="nil"/>
              <w:left w:val="single" w:color="auto" w:sz="4" w:space="0"/>
              <w:bottom w:val="single" w:color="auto" w:sz="4" w:space="0"/>
              <w:right w:val="single" w:color="auto" w:sz="4" w:space="0"/>
            </w:tcBorders>
          </w:tcPr>
          <w:p>
            <w:pPr>
              <w:pStyle w:val="75"/>
              <w:keepNext w:val="0"/>
              <w:keepLines w:val="0"/>
            </w:pPr>
          </w:p>
        </w:tc>
        <w:tc>
          <w:tcPr>
            <w:tcW w:w="1312" w:type="pct"/>
            <w:vMerge w:val="continue"/>
            <w:tcBorders>
              <w:top w:val="single" w:color="auto" w:sz="4" w:space="0"/>
              <w:left w:val="single" w:color="auto" w:sz="4" w:space="0"/>
              <w:bottom w:val="single" w:color="auto" w:sz="4" w:space="0"/>
              <w:right w:val="single" w:color="auto" w:sz="4" w:space="0"/>
            </w:tcBorders>
            <w:vAlign w:val="center"/>
          </w:tcPr>
          <w:p>
            <w:pPr>
              <w:pStyle w:val="75"/>
              <w:keepNext w:val="0"/>
              <w:keepLines w:val="0"/>
            </w:pPr>
          </w:p>
        </w:tc>
        <w:tc>
          <w:tcPr>
            <w:tcW w:w="1610" w:type="pct"/>
            <w:tcBorders>
              <w:top w:val="nil"/>
              <w:left w:val="single" w:color="auto" w:sz="4" w:space="0"/>
              <w:bottom w:val="single" w:color="auto" w:sz="4" w:space="0"/>
              <w:right w:val="single" w:color="auto" w:sz="4" w:space="0"/>
            </w:tcBorders>
          </w:tcPr>
          <w:p>
            <w:pPr>
              <w:pStyle w:val="75"/>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NR RF Channel Number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Two FR1 NR carrier frequencies are used.</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Active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(PCell)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NR Cell 1 is on NR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Neighbour cell</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NR Cell 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 xml:space="preserve">NR Cell 2 is on NR RF channel number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SMTC-SSB parameters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nil"/>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SSB.1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SSB.2 FR1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 specified in clause A.3.10.1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Hysteresis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PRACH configuration index</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detailed configuration is specified in TS 38.211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CP length</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Normal</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TimeToTrigger</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Filter coefficient</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L3 filtering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connected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OFF</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DRX in idle mode</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0.32</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rPr>
                <w:i/>
              </w:rPr>
              <w:t xml:space="preserve">measReselectionValidityDuration-r18 </w:t>
            </w:r>
            <w:r>
              <w:t xml:space="preserve"> </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nil"/>
              <w:right w:val="single" w:color="auto" w:sz="4" w:space="0"/>
            </w:tcBorders>
          </w:tcPr>
          <w:p>
            <w:pPr>
              <w:pStyle w:val="77"/>
              <w:keepNext w:val="0"/>
              <w:keepLines w:val="0"/>
            </w:pPr>
            <w:r>
              <w:t>Time offset between serving and neighbour cells</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 ms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Asynchronous cells.</w:t>
            </w:r>
          </w:p>
          <w:p>
            <w:pPr>
              <w:pStyle w:val="77"/>
              <w:keepNext w:val="0"/>
              <w:keepLines w:val="0"/>
            </w:pPr>
            <w:r>
              <w:t>The timing of Cell 2 is 3 ms later than the timing of 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nil"/>
              <w:left w:val="single" w:color="auto" w:sz="4" w:space="0"/>
              <w:bottom w:val="single" w:color="auto" w:sz="4" w:space="0"/>
              <w:right w:val="single" w:color="auto" w:sz="4" w:space="0"/>
            </w:tcBorders>
          </w:tcPr>
          <w:p>
            <w:pPr>
              <w:pStyle w:val="77"/>
              <w:keepNext w:val="0"/>
              <w:keepLines w:val="0"/>
            </w:pP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w:t>
            </w:r>
            <w:r>
              <w:rPr/>
              <w:sym w:font="Symbol" w:char="F06D"/>
            </w:r>
            <w:r>
              <w:t>s</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r>
              <w:t>Synchronous cells.</w:t>
            </w:r>
          </w:p>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T1</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T2</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30</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T3</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5</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11" w:type="pct"/>
            <w:tcBorders>
              <w:top w:val="single" w:color="auto" w:sz="4" w:space="0"/>
              <w:left w:val="single" w:color="auto" w:sz="4" w:space="0"/>
              <w:bottom w:val="single" w:color="auto" w:sz="4" w:space="0"/>
              <w:right w:val="single" w:color="auto" w:sz="4" w:space="0"/>
            </w:tcBorders>
          </w:tcPr>
          <w:p>
            <w:pPr>
              <w:pStyle w:val="77"/>
              <w:keepNext w:val="0"/>
              <w:keepLines w:val="0"/>
            </w:pPr>
            <w:r>
              <w:t>T4</w:t>
            </w:r>
          </w:p>
        </w:tc>
        <w:tc>
          <w:tcPr>
            <w:tcW w:w="312" w:type="pct"/>
            <w:tcBorders>
              <w:top w:val="single" w:color="auto" w:sz="4" w:space="0"/>
              <w:left w:val="single" w:color="auto" w:sz="4" w:space="0"/>
              <w:bottom w:val="single" w:color="auto" w:sz="4" w:space="0"/>
              <w:right w:val="single" w:color="auto" w:sz="4" w:space="0"/>
            </w:tcBorders>
          </w:tcPr>
          <w:p>
            <w:pPr>
              <w:pStyle w:val="77"/>
              <w:keepNext w:val="0"/>
              <w:keepLines w:val="0"/>
            </w:pPr>
            <w:r>
              <w:t>s</w:t>
            </w:r>
          </w:p>
        </w:tc>
        <w:tc>
          <w:tcPr>
            <w:tcW w:w="656" w:type="pct"/>
            <w:tcBorders>
              <w:top w:val="single" w:color="auto" w:sz="4" w:space="0"/>
              <w:left w:val="single" w:color="auto" w:sz="4" w:space="0"/>
              <w:bottom w:val="single" w:color="auto" w:sz="4" w:space="0"/>
              <w:right w:val="single" w:color="auto" w:sz="4" w:space="0"/>
            </w:tcBorders>
          </w:tcPr>
          <w:p>
            <w:pPr>
              <w:pStyle w:val="77"/>
              <w:keepNext w:val="0"/>
              <w:keepLines w:val="0"/>
            </w:pPr>
            <w:r>
              <w:rPr>
                <w:rFonts w:cs="Arial"/>
                <w:szCs w:val="18"/>
              </w:rPr>
              <w:t>Config 1,2,3</w:t>
            </w:r>
          </w:p>
        </w:tc>
        <w:tc>
          <w:tcPr>
            <w:tcW w:w="1312" w:type="pct"/>
            <w:tcBorders>
              <w:top w:val="single" w:color="auto" w:sz="4" w:space="0"/>
              <w:left w:val="single" w:color="auto" w:sz="4" w:space="0"/>
              <w:bottom w:val="single" w:color="auto" w:sz="4" w:space="0"/>
              <w:right w:val="single" w:color="auto" w:sz="4" w:space="0"/>
            </w:tcBorders>
          </w:tcPr>
          <w:p>
            <w:pPr>
              <w:pStyle w:val="77"/>
              <w:keepNext w:val="0"/>
              <w:keepLines w:val="0"/>
            </w:pPr>
            <w:r>
              <w:t>1</w:t>
            </w:r>
          </w:p>
        </w:tc>
        <w:tc>
          <w:tcPr>
            <w:tcW w:w="1610" w:type="pct"/>
            <w:tcBorders>
              <w:top w:val="single" w:color="auto" w:sz="4" w:space="0"/>
              <w:left w:val="single" w:color="auto" w:sz="4" w:space="0"/>
              <w:bottom w:val="single" w:color="auto" w:sz="4" w:space="0"/>
              <w:right w:val="single" w:color="auto" w:sz="4" w:space="0"/>
            </w:tcBorders>
          </w:tcPr>
          <w:p>
            <w:pPr>
              <w:pStyle w:val="77"/>
              <w:keepNext w:val="0"/>
              <w:keepLines w:val="0"/>
            </w:pPr>
          </w:p>
        </w:tc>
      </w:tr>
    </w:tbl>
    <w:p/>
    <w:p>
      <w:pPr>
        <w:pStyle w:val="79"/>
        <w:keepLines w:val="0"/>
      </w:pPr>
      <w:r>
        <w:t>Table A.6.6.9.3.1-3: Cell specific test parameters for Idle and connected mode for fast CA/DC cell re-selection measurement for FR1</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2"/>
        <w:gridCol w:w="947"/>
        <w:gridCol w:w="1007"/>
        <w:gridCol w:w="1495"/>
        <w:gridCol w:w="472"/>
        <w:gridCol w:w="472"/>
        <w:gridCol w:w="472"/>
        <w:gridCol w:w="472"/>
        <w:gridCol w:w="775"/>
        <w:gridCol w:w="775"/>
        <w:gridCol w:w="776"/>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127" w:type="pct"/>
            <w:gridSpan w:val="2"/>
            <w:tcBorders>
              <w:top w:val="single" w:color="auto" w:sz="4" w:space="0"/>
              <w:left w:val="single" w:color="auto" w:sz="4" w:space="0"/>
              <w:bottom w:val="nil"/>
              <w:right w:val="single" w:color="auto" w:sz="4" w:space="0"/>
            </w:tcBorders>
          </w:tcPr>
          <w:p>
            <w:pPr>
              <w:pStyle w:val="75"/>
              <w:keepLines w:val="0"/>
            </w:pPr>
            <w:r>
              <w:t>Parameter</w:t>
            </w:r>
          </w:p>
        </w:tc>
        <w:tc>
          <w:tcPr>
            <w:tcW w:w="352" w:type="pct"/>
            <w:tcBorders>
              <w:top w:val="single" w:color="auto" w:sz="4" w:space="0"/>
              <w:left w:val="single" w:color="auto" w:sz="4" w:space="0"/>
              <w:bottom w:val="nil"/>
              <w:right w:val="single" w:color="auto" w:sz="4" w:space="0"/>
            </w:tcBorders>
          </w:tcPr>
          <w:p>
            <w:pPr>
              <w:pStyle w:val="75"/>
              <w:keepLines w:val="0"/>
            </w:pPr>
            <w:r>
              <w:t>Unit</w:t>
            </w:r>
          </w:p>
        </w:tc>
        <w:tc>
          <w:tcPr>
            <w:tcW w:w="787" w:type="pct"/>
            <w:tcBorders>
              <w:top w:val="single" w:color="auto" w:sz="4" w:space="0"/>
              <w:left w:val="single" w:color="auto" w:sz="4" w:space="0"/>
              <w:bottom w:val="nil"/>
              <w:right w:val="single" w:color="auto" w:sz="4" w:space="0"/>
            </w:tcBorders>
          </w:tcPr>
          <w:p>
            <w:pPr>
              <w:pStyle w:val="75"/>
              <w:keepLines w:val="0"/>
            </w:pPr>
            <w:r>
              <w:t>Test configuration</w:t>
            </w:r>
          </w:p>
        </w:tc>
        <w:tc>
          <w:tcPr>
            <w:tcW w:w="1056" w:type="pct"/>
            <w:gridSpan w:val="4"/>
            <w:tcBorders>
              <w:top w:val="single" w:color="auto" w:sz="4" w:space="0"/>
              <w:left w:val="single" w:color="auto" w:sz="4" w:space="0"/>
              <w:bottom w:val="single" w:color="auto" w:sz="4" w:space="0"/>
              <w:right w:val="single" w:color="auto" w:sz="4" w:space="0"/>
            </w:tcBorders>
          </w:tcPr>
          <w:p>
            <w:pPr>
              <w:pStyle w:val="75"/>
              <w:keepLines w:val="0"/>
            </w:pPr>
            <w:r>
              <w:t>Cell 1</w:t>
            </w:r>
          </w:p>
        </w:tc>
        <w:tc>
          <w:tcPr>
            <w:tcW w:w="1678" w:type="pct"/>
            <w:gridSpan w:val="4"/>
            <w:tcBorders>
              <w:top w:val="single" w:color="auto" w:sz="4" w:space="0"/>
              <w:left w:val="single" w:color="auto" w:sz="4" w:space="0"/>
              <w:bottom w:val="single" w:color="auto" w:sz="4" w:space="0"/>
              <w:right w:val="single" w:color="auto" w:sz="4" w:space="0"/>
            </w:tcBorders>
          </w:tcPr>
          <w:p>
            <w:pPr>
              <w:pStyle w:val="75"/>
              <w:keepLines w:val="0"/>
            </w:pPr>
            <w: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5"/>
              <w:keepLines w:val="0"/>
            </w:pPr>
          </w:p>
        </w:tc>
        <w:tc>
          <w:tcPr>
            <w:tcW w:w="352" w:type="pct"/>
            <w:tcBorders>
              <w:top w:val="nil"/>
              <w:left w:val="single" w:color="auto" w:sz="4" w:space="0"/>
              <w:bottom w:val="single" w:color="auto" w:sz="4" w:space="0"/>
              <w:right w:val="single" w:color="auto" w:sz="4" w:space="0"/>
            </w:tcBorders>
          </w:tcPr>
          <w:p>
            <w:pPr>
              <w:pStyle w:val="75"/>
              <w:keepLines w:val="0"/>
            </w:pPr>
          </w:p>
        </w:tc>
        <w:tc>
          <w:tcPr>
            <w:tcW w:w="787" w:type="pct"/>
            <w:tcBorders>
              <w:top w:val="nil"/>
              <w:left w:val="single" w:color="auto" w:sz="4" w:space="0"/>
              <w:bottom w:val="single" w:color="auto" w:sz="4" w:space="0"/>
              <w:right w:val="single" w:color="auto" w:sz="4" w:space="0"/>
            </w:tcBorders>
          </w:tcPr>
          <w:p>
            <w:pPr>
              <w:pStyle w:val="75"/>
              <w:keepLines w:val="0"/>
            </w:pP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264" w:type="pct"/>
            <w:tcBorders>
              <w:top w:val="single" w:color="auto" w:sz="4" w:space="0"/>
              <w:left w:val="single" w:color="auto" w:sz="4" w:space="0"/>
              <w:bottom w:val="single" w:color="auto" w:sz="4" w:space="0"/>
              <w:right w:val="single" w:color="auto" w:sz="4" w:space="0"/>
            </w:tcBorders>
          </w:tcPr>
          <w:p>
            <w:pPr>
              <w:pStyle w:val="75"/>
              <w:keepLines w:val="0"/>
            </w:pPr>
            <w:r>
              <w:t>T4</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T1</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T2</w:t>
            </w:r>
          </w:p>
        </w:tc>
        <w:tc>
          <w:tcPr>
            <w:tcW w:w="419" w:type="pct"/>
            <w:tcBorders>
              <w:top w:val="single" w:color="auto" w:sz="4" w:space="0"/>
              <w:left w:val="single" w:color="auto" w:sz="4" w:space="0"/>
              <w:bottom w:val="single" w:color="auto" w:sz="4" w:space="0"/>
              <w:right w:val="single" w:color="auto" w:sz="4" w:space="0"/>
            </w:tcBorders>
          </w:tcPr>
          <w:p>
            <w:pPr>
              <w:pStyle w:val="75"/>
              <w:keepLines w:val="0"/>
            </w:pPr>
            <w:r>
              <w:t>T3</w:t>
            </w:r>
          </w:p>
        </w:tc>
        <w:tc>
          <w:tcPr>
            <w:tcW w:w="420" w:type="pct"/>
            <w:tcBorders>
              <w:top w:val="single" w:color="auto" w:sz="4" w:space="0"/>
              <w:left w:val="single" w:color="auto" w:sz="4" w:space="0"/>
              <w:bottom w:val="single" w:color="auto" w:sz="4" w:space="0"/>
              <w:right w:val="single" w:color="auto" w:sz="4" w:space="0"/>
            </w:tcBorders>
          </w:tcPr>
          <w:p>
            <w:pPr>
              <w:pStyle w:val="75"/>
              <w:keepLines w:val="0"/>
            </w:pPr>
            <w:r>
              <w:t>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Lines w:val="0"/>
            </w:pPr>
            <w:r>
              <w:t>NR RF Channel Number</w:t>
            </w:r>
          </w:p>
        </w:tc>
        <w:tc>
          <w:tcPr>
            <w:tcW w:w="352" w:type="pct"/>
            <w:tcBorders>
              <w:top w:val="single" w:color="auto" w:sz="4" w:space="0"/>
              <w:left w:val="single" w:color="auto" w:sz="4" w:space="0"/>
              <w:bottom w:val="single" w:color="auto" w:sz="4" w:space="0"/>
              <w:right w:val="single" w:color="auto" w:sz="4" w:space="0"/>
            </w:tcBorders>
          </w:tcPr>
          <w:p>
            <w:pPr>
              <w:pStyle w:val="77"/>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Duplex mode</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TDD configuration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N.A</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TDDConf.1.1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TDDConf.2.1</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BWchannel</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BWP BW</w:t>
            </w:r>
          </w:p>
        </w:tc>
        <w:tc>
          <w:tcPr>
            <w:tcW w:w="352" w:type="pct"/>
            <w:tcBorders>
              <w:top w:val="single" w:color="auto" w:sz="4" w:space="0"/>
              <w:left w:val="single" w:color="auto" w:sz="4" w:space="0"/>
              <w:bottom w:val="nil"/>
              <w:right w:val="single" w:color="auto" w:sz="4" w:space="0"/>
            </w:tcBorders>
          </w:tcPr>
          <w:p>
            <w:pPr>
              <w:pStyle w:val="77"/>
              <w:keepNext w:val="0"/>
              <w:keepLines w:val="0"/>
            </w:pPr>
            <w:r>
              <w:t>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10: NRB,c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40: NRB,c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single" w:color="auto" w:sz="4" w:space="0"/>
              <w:left w:val="single" w:color="auto" w:sz="4" w:space="0"/>
              <w:bottom w:val="nil"/>
              <w:right w:val="single" w:color="auto" w:sz="4" w:space="0"/>
            </w:tcBorders>
          </w:tcPr>
          <w:p>
            <w:pPr>
              <w:pStyle w:val="77"/>
              <w:keepNext w:val="0"/>
              <w:keepLines w:val="0"/>
            </w:pPr>
            <w:r>
              <w:t>BWP configuration</w:t>
            </w: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Initial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ULBWP.0.1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nil"/>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DL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DLBWP.1.1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04" w:type="pct"/>
            <w:tcBorders>
              <w:top w:val="nil"/>
              <w:left w:val="single" w:color="auto" w:sz="4" w:space="0"/>
              <w:bottom w:val="single" w:color="auto" w:sz="4" w:space="0"/>
              <w:right w:val="single" w:color="auto" w:sz="4" w:space="0"/>
            </w:tcBorders>
          </w:tcPr>
          <w:p>
            <w:pPr>
              <w:pStyle w:val="77"/>
              <w:keepNext w:val="0"/>
              <w:keepLines w:val="0"/>
            </w:pPr>
          </w:p>
        </w:tc>
        <w:tc>
          <w:tcPr>
            <w:tcW w:w="422" w:type="pct"/>
            <w:tcBorders>
              <w:top w:val="single" w:color="auto" w:sz="4" w:space="0"/>
              <w:left w:val="single" w:color="auto" w:sz="4" w:space="0"/>
              <w:bottom w:val="single" w:color="auto" w:sz="4" w:space="0"/>
              <w:right w:val="single" w:color="auto" w:sz="4" w:space="0"/>
            </w:tcBorders>
          </w:tcPr>
          <w:p>
            <w:pPr>
              <w:pStyle w:val="77"/>
              <w:keepNext w:val="0"/>
              <w:keepLines w:val="0"/>
            </w:pPr>
            <w:r>
              <w:t>Dedicated UL BWP</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ULBWP.1.1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TRS configuration</w:t>
            </w:r>
          </w:p>
        </w:tc>
        <w:tc>
          <w:tcPr>
            <w:tcW w:w="352" w:type="pct"/>
            <w:tcBorders>
              <w:top w:val="single" w:color="auto" w:sz="4" w:space="0"/>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nil"/>
              <w:left w:val="single" w:color="auto" w:sz="4" w:space="0"/>
              <w:bottom w:val="nil"/>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TRS.1.2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OCNG Patterns defined in A.3.2.1.1 (OP.1)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 Reference measurement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CORESET Reference Channel</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SSB parameters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nil"/>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SSB.1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SSB.5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SSB.2 FR1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SSB.6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SMTC configuration defined in A.3.11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SMTC.2</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2,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SMTC.1</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SMTC.4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PDSCH/PDCCH subcarrier spacing</w:t>
            </w:r>
          </w:p>
        </w:tc>
        <w:tc>
          <w:tcPr>
            <w:tcW w:w="352" w:type="pct"/>
            <w:tcBorders>
              <w:top w:val="single" w:color="auto" w:sz="4" w:space="0"/>
              <w:left w:val="single" w:color="auto" w:sz="4" w:space="0"/>
              <w:bottom w:val="nil"/>
              <w:right w:val="single" w:color="auto" w:sz="4" w:space="0"/>
            </w:tcBorders>
          </w:tcPr>
          <w:p>
            <w:pPr>
              <w:pStyle w:val="77"/>
              <w:keepNext w:val="0"/>
              <w:keepLines w:val="0"/>
            </w:pPr>
            <w:r>
              <w:t>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2734" w:type="pct"/>
            <w:gridSpan w:val="8"/>
            <w:tcBorders>
              <w:top w:val="single" w:color="auto" w:sz="4" w:space="0"/>
              <w:left w:val="single" w:color="auto" w:sz="4" w:space="0"/>
              <w:bottom w:val="single" w:color="auto" w:sz="4" w:space="0"/>
              <w:right w:val="single" w:color="auto" w:sz="4" w:space="0"/>
            </w:tcBorders>
          </w:tcPr>
          <w:p>
            <w:pPr>
              <w:pStyle w:val="76"/>
              <w:keepNext w:val="0"/>
              <w:keepLines w:val="0"/>
            </w:pPr>
            <w: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PSS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nil"/>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nil"/>
              <w:right w:val="single" w:color="auto" w:sz="4" w:space="0"/>
            </w:tcBorders>
          </w:tcPr>
          <w:p>
            <w:pPr>
              <w:pStyle w:val="76"/>
              <w:keepNext w:val="0"/>
              <w:keepLines w:val="0"/>
            </w:pPr>
            <w:r>
              <w:t>0</w:t>
            </w:r>
          </w:p>
        </w:tc>
        <w:tc>
          <w:tcPr>
            <w:tcW w:w="1678" w:type="pct"/>
            <w:gridSpan w:val="4"/>
            <w:tcBorders>
              <w:top w:val="single" w:color="auto" w:sz="4" w:space="0"/>
              <w:left w:val="single" w:color="auto" w:sz="4" w:space="0"/>
              <w:bottom w:val="nil"/>
              <w:right w:val="single" w:color="auto" w:sz="4" w:space="0"/>
            </w:tcBorders>
          </w:tcPr>
          <w:p>
            <w:pPr>
              <w:pStyle w:val="76"/>
              <w:keepNext w:val="0"/>
              <w:keepLines w:val="0"/>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PBCH to PBCH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DMRS to SSS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PDCCH to PDCCH DMRS</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DMRS to SSS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 xml:space="preserve">EPRE ratio of PDSCH to PDSCH </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DMRS to SSS(Note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nil"/>
              <w:right w:val="single" w:color="auto" w:sz="4" w:space="0"/>
            </w:tcBorders>
          </w:tcPr>
          <w:p>
            <w:pPr>
              <w:pStyle w:val="77"/>
              <w:keepNext w:val="0"/>
              <w:keepLines w:val="0"/>
            </w:pPr>
          </w:p>
        </w:tc>
        <w:tc>
          <w:tcPr>
            <w:tcW w:w="1056" w:type="pct"/>
            <w:gridSpan w:val="4"/>
            <w:tcBorders>
              <w:top w:val="nil"/>
              <w:left w:val="single" w:color="auto" w:sz="4" w:space="0"/>
              <w:bottom w:val="nil"/>
              <w:right w:val="single" w:color="auto" w:sz="4" w:space="0"/>
            </w:tcBorders>
          </w:tcPr>
          <w:p>
            <w:pPr>
              <w:pStyle w:val="76"/>
              <w:keepNext w:val="0"/>
              <w:keepLines w:val="0"/>
            </w:pPr>
          </w:p>
        </w:tc>
        <w:tc>
          <w:tcPr>
            <w:tcW w:w="1678" w:type="pct"/>
            <w:gridSpan w:val="4"/>
            <w:tcBorders>
              <w:top w:val="nil"/>
              <w:left w:val="single" w:color="auto" w:sz="4" w:space="0"/>
              <w:bottom w:val="nil"/>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EPRE ratio of OCNG to OCNG DMRS (Note 1)</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nil"/>
              <w:left w:val="single" w:color="auto" w:sz="4" w:space="0"/>
              <w:bottom w:val="single" w:color="auto" w:sz="4" w:space="0"/>
              <w:right w:val="single" w:color="auto" w:sz="4" w:space="0"/>
            </w:tcBorders>
          </w:tcPr>
          <w:p>
            <w:pPr>
              <w:pStyle w:val="77"/>
              <w:keepNext w:val="0"/>
              <w:keepLines w:val="0"/>
            </w:pPr>
          </w:p>
        </w:tc>
        <w:tc>
          <w:tcPr>
            <w:tcW w:w="1056" w:type="pct"/>
            <w:gridSpan w:val="4"/>
            <w:tcBorders>
              <w:top w:val="nil"/>
              <w:left w:val="single" w:color="auto" w:sz="4" w:space="0"/>
              <w:bottom w:val="single" w:color="auto" w:sz="4" w:space="0"/>
              <w:right w:val="single" w:color="auto" w:sz="4" w:space="0"/>
            </w:tcBorders>
          </w:tcPr>
          <w:p>
            <w:pPr>
              <w:pStyle w:val="76"/>
              <w:keepNext w:val="0"/>
              <w:keepLines w:val="0"/>
            </w:pPr>
          </w:p>
        </w:tc>
        <w:tc>
          <w:tcPr>
            <w:tcW w:w="1678" w:type="pct"/>
            <w:gridSpan w:val="4"/>
            <w:tcBorders>
              <w:top w:val="nil"/>
              <w:left w:val="single" w:color="auto" w:sz="4" w:space="0"/>
              <w:bottom w:val="single" w:color="auto" w:sz="4" w:space="0"/>
              <w:right w:val="single" w:color="auto" w:sz="4" w:space="0"/>
            </w:tcBorders>
          </w:tcPr>
          <w:p>
            <w:pPr>
              <w:pStyle w:val="76"/>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5"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5" DrawAspect="Content" ObjectID="_1468075735" r:id="rId21">
                  <o:LockedField>false</o:LockedField>
                </o:OLEObject>
              </w:object>
            </w:r>
            <w:r>
              <w:t>Note2</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dBm/15 kHz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Lines w:val="0"/>
            </w:pPr>
            <w:r>
              <w:object>
                <v:shape id="_x0000_i1036"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2">
                  <o:LockedField>false</o:LockedField>
                </o:OLEObject>
              </w:object>
            </w:r>
            <w:r>
              <w:t>Note2</w:t>
            </w:r>
          </w:p>
        </w:tc>
        <w:tc>
          <w:tcPr>
            <w:tcW w:w="352" w:type="pct"/>
            <w:tcBorders>
              <w:top w:val="single" w:color="auto" w:sz="4" w:space="0"/>
              <w:left w:val="single" w:color="auto" w:sz="4" w:space="0"/>
              <w:bottom w:val="nil"/>
              <w:right w:val="single" w:color="auto" w:sz="4" w:space="0"/>
            </w:tcBorders>
          </w:tcPr>
          <w:p>
            <w:pPr>
              <w:pStyle w:val="77"/>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Lines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c>
          <w:tcPr>
            <w:tcW w:w="1678"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SS-RSRP Note 3</w:t>
            </w:r>
          </w:p>
        </w:tc>
        <w:tc>
          <w:tcPr>
            <w:tcW w:w="352" w:type="pct"/>
            <w:tcBorders>
              <w:top w:val="single" w:color="auto" w:sz="4" w:space="0"/>
              <w:left w:val="single" w:color="auto" w:sz="4" w:space="0"/>
              <w:bottom w:val="nil"/>
              <w:right w:val="single" w:color="auto" w:sz="4" w:space="0"/>
            </w:tcBorders>
          </w:tcPr>
          <w:p>
            <w:pPr>
              <w:pStyle w:val="77"/>
              <w:keepNext w:val="0"/>
              <w:keepLines w:val="0"/>
            </w:pPr>
            <w:r>
              <w:t>dBm/SCS</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-91</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nil"/>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-85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-88</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7" o:spt="75" type="#_x0000_t75" style="height:15.05pt;width:19.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7" DrawAspect="Content" ObjectID="_1468075737" r:id="rId23">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1,2,3,4,</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 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p>
            <w:pPr>
              <w:pStyle w:val="76"/>
              <w:keepNext w:val="0"/>
              <w:keepLines w:val="0"/>
            </w:pP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object>
                <v:shape id="_x0000_i1038" o:spt="75" type="#_x0000_t75" style="height:15.05pt;width:30.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8" DrawAspect="Content" ObjectID="_1468075738" r:id="rId24">
                  <o:LockedField>false</o:LockedField>
                </o:OLEObject>
              </w:objec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10</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rPr>
                <w:rFonts w:hint="eastAsia"/>
                <w:lang w:eastAsia="ko-KR"/>
              </w:rPr>
              <w:t>-</w:t>
            </w:r>
            <w:r>
              <w:t>infinity</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nil"/>
              <w:right w:val="single" w:color="auto" w:sz="4" w:space="0"/>
            </w:tcBorders>
          </w:tcPr>
          <w:p>
            <w:pPr>
              <w:pStyle w:val="77"/>
              <w:keepNext w:val="0"/>
              <w:keepLines w:val="0"/>
            </w:pPr>
            <w:r>
              <w:t>IoNote3</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dBm/9.36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w:t>
            </w:r>
          </w:p>
        </w:tc>
        <w:tc>
          <w:tcPr>
            <w:tcW w:w="1056" w:type="pct"/>
            <w:gridSpan w:val="4"/>
            <w:tcBorders>
              <w:top w:val="single" w:color="auto" w:sz="4" w:space="0"/>
              <w:left w:val="single" w:color="auto" w:sz="4" w:space="0"/>
              <w:bottom w:val="single" w:color="auto" w:sz="4" w:space="0"/>
              <w:right w:val="single" w:color="auto" w:sz="4" w:space="0"/>
            </w:tcBorders>
          </w:tcPr>
          <w:p>
            <w:pPr>
              <w:pStyle w:val="76"/>
              <w:keepNext w:val="0"/>
              <w:keepLines w:val="0"/>
            </w:pPr>
            <w:r>
              <w:t>-59.63</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-70.5</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-62.26</w:t>
            </w:r>
          </w:p>
        </w:tc>
        <w:tc>
          <w:tcPr>
            <w:tcW w:w="419"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c>
          <w:tcPr>
            <w:tcW w:w="420" w:type="pct"/>
            <w:tcBorders>
              <w:top w:val="single" w:color="auto" w:sz="4" w:space="0"/>
              <w:left w:val="single" w:color="auto" w:sz="4" w:space="0"/>
              <w:bottom w:val="single" w:color="auto" w:sz="4" w:space="0"/>
              <w:right w:val="single" w:color="auto" w:sz="4" w:space="0"/>
            </w:tcBorders>
          </w:tcPr>
          <w:p>
            <w:pPr>
              <w:pStyle w:val="76"/>
              <w:keepNext w:val="0"/>
              <w:keepLines w:val="0"/>
            </w:pPr>
            <w:r>
              <w:t>-67.92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nil"/>
              <w:left w:val="single" w:color="auto" w:sz="4" w:space="0"/>
              <w:bottom w:val="single" w:color="auto" w:sz="4" w:space="0"/>
              <w:right w:val="single" w:color="auto" w:sz="4" w:space="0"/>
            </w:tcBorders>
          </w:tcPr>
          <w:p>
            <w:pPr>
              <w:pStyle w:val="77"/>
              <w:keepNext w:val="0"/>
              <w:keepLines w:val="0"/>
            </w:pP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r>
              <w:t>dBm/38.16 MHz</w:t>
            </w: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3</w:t>
            </w:r>
          </w:p>
        </w:tc>
        <w:tc>
          <w:tcPr>
            <w:tcW w:w="1056" w:type="pct"/>
            <w:gridSpan w:val="4"/>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-53.54</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-63.96</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-56.17</w:t>
            </w:r>
          </w:p>
        </w:tc>
        <w:tc>
          <w:tcPr>
            <w:tcW w:w="419"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c>
          <w:tcPr>
            <w:tcW w:w="420" w:type="pct"/>
            <w:tcBorders>
              <w:top w:val="single" w:color="auto" w:sz="4" w:space="0"/>
              <w:left w:val="single" w:color="auto" w:sz="4" w:space="0"/>
              <w:bottom w:val="single" w:color="auto" w:sz="4" w:space="0"/>
              <w:right w:val="single" w:color="auto" w:sz="4" w:space="0"/>
            </w:tcBorders>
            <w:vAlign w:val="center"/>
          </w:tcPr>
          <w:p>
            <w:pPr>
              <w:pStyle w:val="76"/>
              <w:keepNext w:val="0"/>
              <w:keepLines w:val="0"/>
            </w:pPr>
            <w:r>
              <w:rPr>
                <w:rFonts w:cs="Arial"/>
                <w:szCs w:val="18"/>
              </w:rPr>
              <w:t>-61.83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127" w:type="pct"/>
            <w:gridSpan w:val="2"/>
            <w:tcBorders>
              <w:top w:val="single" w:color="auto" w:sz="4" w:space="0"/>
              <w:left w:val="single" w:color="auto" w:sz="4" w:space="0"/>
              <w:bottom w:val="single" w:color="auto" w:sz="4" w:space="0"/>
              <w:right w:val="single" w:color="auto" w:sz="4" w:space="0"/>
            </w:tcBorders>
          </w:tcPr>
          <w:p>
            <w:pPr>
              <w:pStyle w:val="77"/>
              <w:keepNext w:val="0"/>
              <w:keepLines w:val="0"/>
            </w:pPr>
            <w:r>
              <w:t>Propagation Condition</w:t>
            </w:r>
          </w:p>
        </w:tc>
        <w:tc>
          <w:tcPr>
            <w:tcW w:w="352" w:type="pct"/>
            <w:tcBorders>
              <w:top w:val="single" w:color="auto" w:sz="4" w:space="0"/>
              <w:left w:val="single" w:color="auto" w:sz="4" w:space="0"/>
              <w:bottom w:val="single" w:color="auto" w:sz="4" w:space="0"/>
              <w:right w:val="single" w:color="auto" w:sz="4" w:space="0"/>
            </w:tcBorders>
          </w:tcPr>
          <w:p>
            <w:pPr>
              <w:pStyle w:val="77"/>
              <w:keepNext w:val="0"/>
              <w:keepLines w:val="0"/>
            </w:pPr>
          </w:p>
        </w:tc>
        <w:tc>
          <w:tcPr>
            <w:tcW w:w="787" w:type="pct"/>
            <w:tcBorders>
              <w:top w:val="single" w:color="auto" w:sz="4" w:space="0"/>
              <w:left w:val="single" w:color="auto" w:sz="4" w:space="0"/>
              <w:bottom w:val="single" w:color="auto" w:sz="4" w:space="0"/>
              <w:right w:val="single" w:color="auto" w:sz="4" w:space="0"/>
            </w:tcBorders>
          </w:tcPr>
          <w:p>
            <w:pPr>
              <w:pStyle w:val="77"/>
              <w:keepNext w:val="0"/>
              <w:keepLines w:val="0"/>
            </w:pPr>
            <w:r>
              <w:t>Config 1,2,3</w:t>
            </w:r>
          </w:p>
        </w:tc>
        <w:tc>
          <w:tcPr>
            <w:tcW w:w="1056"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c>
          <w:tcPr>
            <w:tcW w:w="1678" w:type="pct"/>
            <w:gridSpan w:val="4"/>
            <w:tcBorders>
              <w:top w:val="single" w:color="auto" w:sz="4" w:space="0"/>
              <w:left w:val="single" w:color="auto" w:sz="4" w:space="0"/>
              <w:bottom w:val="single" w:color="auto" w:sz="4" w:space="0"/>
              <w:right w:val="single" w:color="auto" w:sz="4" w:space="0"/>
            </w:tcBorders>
          </w:tcPr>
          <w:p>
            <w:pPr>
              <w:pStyle w:val="77"/>
              <w:keepNext w:val="0"/>
              <w:keepLines w:val="0"/>
            </w:pPr>
            <w: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12"/>
            <w:tcBorders>
              <w:top w:val="single" w:color="auto" w:sz="4" w:space="0"/>
              <w:left w:val="single" w:color="auto" w:sz="4" w:space="0"/>
              <w:bottom w:val="single" w:color="auto" w:sz="4" w:space="0"/>
              <w:right w:val="single" w:color="auto" w:sz="4" w:space="0"/>
            </w:tcBorders>
          </w:tcPr>
          <w:p>
            <w:pPr>
              <w:pStyle w:val="90"/>
              <w:keepNext w:val="0"/>
              <w:keepLines w:val="0"/>
            </w:pPr>
            <w:r>
              <w:t>NOTE 1:</w:t>
            </w:r>
            <w:r>
              <w:tab/>
            </w:r>
            <w:r>
              <w:t>OCNG shall be used such that both cells are fully allocated and a constant total transmitted power spectral density is achieved for all OFDM symbols.</w:t>
            </w:r>
          </w:p>
          <w:p>
            <w:pPr>
              <w:pStyle w:val="90"/>
              <w:keepNext w:val="0"/>
              <w:keepLines w:val="0"/>
            </w:pPr>
            <w:r>
              <w:t>NOTE 2:</w:t>
            </w:r>
            <w:r>
              <w:tab/>
            </w:r>
            <w:r>
              <w:t xml:space="preserve">Interference from other cells and noise sources not specified in the test is assumed to be constant over subcarriers and time and shall be modelled as AWGN of appropriate power for </w:t>
            </w:r>
            <w:r>
              <w:object>
                <v:shape id="_x0000_i1039" o:spt="75" type="#_x0000_t75" style="height:15.05pt;width:19.6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9" DrawAspect="Content" ObjectID="_1468075739" r:id="rId25">
                  <o:LockedField>false</o:LockedField>
                </o:OLEObject>
              </w:object>
            </w:r>
            <w:r>
              <w:t xml:space="preserve"> to be fulfilled.</w:t>
            </w:r>
          </w:p>
          <w:p>
            <w:pPr>
              <w:pStyle w:val="90"/>
              <w:keepNext w:val="0"/>
              <w:keepLines w:val="0"/>
            </w:pPr>
            <w:r>
              <w:t>NOTE 3:</w:t>
            </w:r>
            <w:r>
              <w:tab/>
            </w:r>
            <w:r>
              <w:t>SS-RSRP and Io levels have been derived from other parameters for information purposes. They are not settable parameters themselves.</w:t>
            </w:r>
          </w:p>
          <w:p>
            <w:pPr>
              <w:pStyle w:val="90"/>
              <w:keepNext w:val="0"/>
              <w:keepLines w:val="0"/>
            </w:pPr>
            <w:r>
              <w:t>NOTE 4:</w:t>
            </w:r>
            <w:r>
              <w:tab/>
            </w:r>
            <w:r>
              <w:t>SS-RSRP minimum requirements are specified assuming independent interference and noise at each receiver antenna port.</w:t>
            </w:r>
          </w:p>
        </w:tc>
      </w:tr>
    </w:tbl>
    <w:p/>
    <w:p>
      <w:pPr>
        <w:pStyle w:val="6"/>
        <w:keepNext w:val="0"/>
        <w:keepLines w:val="0"/>
        <w:rPr>
          <w:lang w:eastAsia="zh-CN"/>
        </w:rPr>
      </w:pPr>
      <w:r>
        <w:rPr>
          <w:lang w:eastAsia="zh-CN"/>
        </w:rPr>
        <w:t>A.6.6.9.4.2</w:t>
      </w:r>
      <w:r>
        <w:rPr>
          <w:lang w:eastAsia="zh-CN"/>
        </w:rPr>
        <w:tab/>
      </w:r>
      <w:r>
        <w:rPr>
          <w:lang w:eastAsia="zh-CN"/>
        </w:rPr>
        <w:t>Test Requirements</w:t>
      </w:r>
    </w:p>
    <w:p>
      <w:r>
        <w:t xml:space="preserve">During the period T2 and T3 the UE shall not perform reselection. </w:t>
      </w:r>
    </w:p>
    <w:p>
      <w:r>
        <w:t xml:space="preserve">At the start of T4 the UE is paged for connection setup. During the connection setup the UE is requested to transmit early measurement report for Cell 2. </w:t>
      </w:r>
    </w:p>
    <w:p>
      <w:r>
        <w:t>The UE shall send early measurement report to the PCell with valid measurement results.</w:t>
      </w:r>
    </w:p>
    <w:p>
      <w:r>
        <w:t>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requirements according to Cell 2 signal level during T3.</w:t>
      </w:r>
    </w:p>
    <w:p>
      <w:r>
        <w:t>The rate of correct events observed during repeated tests shall be at least 90%.</w:t>
      </w:r>
    </w:p>
    <w:bookmarkEnd w:id="3"/>
    <w:p>
      <w:pPr>
        <w:jc w:val="center"/>
        <w:rPr>
          <w:rFonts w:eastAsia="宋体"/>
          <w:highlight w:val="yellow"/>
          <w:lang w:eastAsia="zh-CN"/>
        </w:rPr>
      </w:pPr>
    </w:p>
    <w:p>
      <w:pPr>
        <w:jc w:val="center"/>
        <w:rPr>
          <w:rFonts w:eastAsia="宋体"/>
          <w:highlight w:val="yellow"/>
          <w:lang w:eastAsia="zh-CN"/>
        </w:rPr>
      </w:pPr>
      <w:r>
        <w:rPr>
          <w:rFonts w:eastAsia="宋体"/>
          <w:highlight w:val="yellow"/>
          <w:lang w:eastAsia="zh-CN"/>
        </w:rPr>
        <w:t xml:space="preserve">&lt;End of Change </w:t>
      </w:r>
      <w:r>
        <w:rPr>
          <w:rFonts w:hint="eastAsia" w:eastAsia="宋体"/>
          <w:highlight w:val="yellow"/>
          <w:lang w:val="en-US" w:eastAsia="zh-CN"/>
        </w:rPr>
        <w:t>1</w:t>
      </w:r>
      <w:r>
        <w:rPr>
          <w:rFonts w:eastAsia="宋体"/>
          <w:highlight w:val="yellow"/>
          <w:lang w:eastAsia="zh-CN"/>
        </w:rPr>
        <w:t>&gt;</w:t>
      </w:r>
    </w:p>
    <w:p>
      <w:pPr>
        <w:jc w:val="center"/>
        <w:rPr>
          <w:rFonts w:eastAsia="宋体"/>
          <w:highlight w:val="yellow"/>
          <w:lang w:eastAsia="zh-CN"/>
        </w:rPr>
      </w:pP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A2D48BF"/>
    <w:rsid w:val="0C5E18BD"/>
    <w:rsid w:val="0CB35563"/>
    <w:rsid w:val="0FDA750C"/>
    <w:rsid w:val="12144FC0"/>
    <w:rsid w:val="131A755A"/>
    <w:rsid w:val="17A46BCF"/>
    <w:rsid w:val="183C7DEA"/>
    <w:rsid w:val="19DF52F5"/>
    <w:rsid w:val="21D75195"/>
    <w:rsid w:val="22EE5862"/>
    <w:rsid w:val="23144878"/>
    <w:rsid w:val="24280D55"/>
    <w:rsid w:val="2441618A"/>
    <w:rsid w:val="26571970"/>
    <w:rsid w:val="29672323"/>
    <w:rsid w:val="2E016B8B"/>
    <w:rsid w:val="2FDC1914"/>
    <w:rsid w:val="31EC70F5"/>
    <w:rsid w:val="3EEA220B"/>
    <w:rsid w:val="42B84786"/>
    <w:rsid w:val="496F4D15"/>
    <w:rsid w:val="4ACD671D"/>
    <w:rsid w:val="4CE3471E"/>
    <w:rsid w:val="4E8B5AEB"/>
    <w:rsid w:val="4F5A3DC7"/>
    <w:rsid w:val="539307D0"/>
    <w:rsid w:val="53BD07B5"/>
    <w:rsid w:val="5615283D"/>
    <w:rsid w:val="576561FA"/>
    <w:rsid w:val="57B74E43"/>
    <w:rsid w:val="58FF0F15"/>
    <w:rsid w:val="5CFB52C3"/>
    <w:rsid w:val="5E6809DD"/>
    <w:rsid w:val="63611E64"/>
    <w:rsid w:val="639962F3"/>
    <w:rsid w:val="67E35558"/>
    <w:rsid w:val="682605D5"/>
    <w:rsid w:val="6908683F"/>
    <w:rsid w:val="6C8D08A5"/>
    <w:rsid w:val="6F5524CC"/>
    <w:rsid w:val="730F0FD7"/>
    <w:rsid w:val="733F0D8F"/>
    <w:rsid w:val="769007BE"/>
    <w:rsid w:val="78180B9C"/>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microsoft.com/office/2006/relationships/keyMapCustomizations" Target="customizations.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oleObject" Target="embeddings/oleObject15.bin"/><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image" Target="media/image3.wmf"/><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14</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Wu Yan (ZTE)</cp:lastModifiedBy>
  <cp:lastPrinted>2411-12-31T23:00:00Z</cp:lastPrinted>
  <dcterms:modified xsi:type="dcterms:W3CDTF">2025-02-07T09:01:05Z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81FAD7288F064D718379DEEE48E2F977</vt:lpwstr>
  </property>
</Properties>
</file>